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t>Abstract— Adaptive rehabilitation requires task difficulty to remain challenging and attainable as user behavior changes, a requirement that fixed trajectories and hand-tuned controllers cannot reliably satisfy. This study presents an end-to-end reinforcement learning framework for a tabletop upper-limb pursuit task in which a participant attempts to catch an unpowered microrobot moved through noncontact magnetic actuation. The controller continuously regulates the hand-microrobot distance within a platform-specific Zone of Proximal Development band. The framework separates pursuit strategy from motor execution through decoupled randomization, allowing virtual hands to vary in both intent and movement characteristics. A dual-stream encoder combines current interaction geometry with recent relative motion, while an auxiliary prediction task guides the temporal representation toward short-term hand dynamics. Iterative league training further exposes the controller to a growing pool of pursuit behaviors through prioritized opponent sampling. Simulation experiments show that league training reduces specialization across scripted, learned, and human-controlled pursuit behaviors. Temporal encoding and auxiliary prediction improve difficulty regulation and workspace coverage while producing smoother motion. The learned policy was subsequently deployed on the physical microrobot platform without additional training. It operated through the complete vision-control loop and adjusted microrobot motion in response to changes in pursuit speed. Overall, this work contributes to the development of adaptive noncontact rehabilitation systems whose task difficulty responds continuously to changing user behavior during physical interaction.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after neurological injury seeks to restore upper-limb motor function, which is essential for regaining independence in self-care, work, and everyday activities. Stroke and other neurological conditions can disrupt voluntary control, coordination, movement speed, and the ability to execute purposeful actions, often demanding extended rehabilitation [1], [2]. Repetitive, task-oriented practice is widely adopted to drive motor relearning, because it encourages users to actively generate movements, evaluate outcomes, and make continuous corrections [3]–[5]. However, the effectiveness of such practice depends not only on how much training is performed but also on how difficult each trial feels. Tasks that are too easy may fail to provoke sufficient corrective effort, whereas overly difficult tasks can lead to repeated failure and disengagement [6], [7]. Effective upper-limb training should therefore sustain active participation while maintaining a challenge that feels demanding yet attainable. Striking this balance reliably is difficult, especially given the variability in motor performance across individuals and within a single training session.</w:t>
      </w:r>
    </w:p>
    <w:p>
      <w:pPr>
        <w:ind w:firstLine="400"/>
        <w:jc w:val="both"/>
      </w:pPr>
      <w:r>
        <w:t>In current rehabilitation practice, upper limb training is delivered through several complementary approaches. Therapist-guided exercises allow direct observation of movement quality and let therapists adjust task settings, assistance levels, and feedback for each person. Conventional tabletop devices and rehabilitation equipment offer accessible ways to repeatedly practice reaching, tracking, grasping, and coordination tasks. Robotic systems, including exoskeletons and end-effector devices, offer consistent task execution, programmable assistance or resistance, and numerical measurement of movement and force data [8]–[13]. Virtual reality systems, motion-capture games, and screen-based exercises further expand training scenarios by adding visual feedback, scoring, and game-like progression [14]–[16]. Together, these approaches address a wide range of rehabilitation needs, from personalized clinical guidance to intensive repetition, objective assessment, and task variety.</w:t>
      </w:r>
    </w:p>
    <w:p>
      <w:pPr>
        <w:ind w:firstLine="400"/>
        <w:jc w:val="both"/>
      </w:pPr>
      <w:r>
        <w:t>Despite their advantages, these approaches involve important compromises. Therapist-led training is highly adaptable but limited by therapist availability and the difficulty of scaling it up. Conventional devices are easy to use but often lack advanced sensing, real-time adaptation, or numerical feedback. Contact-based robotic systems can precisely control physical interaction [17] but typically require users to wear or hold mechanical parts, which makes setup harder and limits how users can interact with the system. Fully virtual systems offer flexibility but mainly engage users through visual interfaces rather than through real physical interaction. To address these limits, we develop a system that lets users pursue a physical target within the workspace without needing to wear or hold any powered device. The target is moved without contact, and its behavior is defined in software, allowing flexible adjustment of paths, interaction patterns, and task difficulty [18]–[20]. This design keeps direct physical interaction while reducing the equipment worn by the user and enabling programmable, adaptive training.</w:t>
      </w:r>
    </w:p>
    <w:p>
      <w:pPr>
        <w:ind w:firstLine="400"/>
        <w:jc w:val="both"/>
      </w:pPr>
      <w:r>
        <w:t>The effectiveness of this interface depends heavily on how the microrobot target is controlled during pursuit. The goal is neither to escape the user indefinitely nor to move so predictably that the task becomes trivial. Instead, the target motion should keep the distance between hand and microrobot within a working Zone of Proximal Development (ZPD), a range that is challenging yet reachable [21], [22]. Achieving this requires continuous adjustment to changes in hand speed, movement direction, reaction delay, and pursuit strategy. Fixed paths and preset speeds cannot handle such variation [23]–[25]. Controllers that react to distance can adjust motion based on current geometry, but their performance depends on parameters tuned by hand and may fail to account for recent motion trends. Moreover, actions that increase distance in the short term may lead to problems later, such as going out of bounds or making the task too hard in later steps. Reinforcement learning (RL) offers a suitable framework for this problem, since it can learn control policies that depend on the current state through interaction and can optimize long-term outcomes [26]. RL has proven effective in robotic manipulation, locomotion, human-robot interaction, and adaptive rehabilitation control [27]–[32]. However, applying RL to this task requires both a sufficiently varied set of simulated hand behaviors and a state representation able to capture motion dynamics over time.</w:t>
      </w:r>
    </w:p>
    <w:p>
      <w:pPr>
        <w:ind w:firstLine="400"/>
        <w:jc w:val="both"/>
      </w:pPr>
      <w:r>
        <w:t>Accordingly, we develop an adaptive RL framework that combines virtual hand randomization, a representation of motion over time, and training based on a population of policies. To widen the variety of simulated behaviors, pursuit strategy is separated from motor execution: scripted and learned hand policies generate the intended motion, while a separate execution layer adds variation such as inertia, limits on how fast motion can change, observation noise, and time delay. The robot policy captures the current interaction geometry along with recent relative hand motion, allowing it to represent both spatial layout and short-term dynamics together. An extra prediction objective is added to help the model learn motion dynamics. Robustness across pursuit strategies is further improved through repeated league training, in which the robot is trained against a growing pool of scripted and learned hand behaviors. The framework is tested through simulation experiments that assess robustness across pursuit behaviors and examine the contributions of time-based encoding and the extra prediction objective. The learned policy is then deployed, without further physical training, on the magnetic microrobot platform to test the full control loop from visual observation to physical actuation. The evaluation focuses on adaptive difficulty regulation, robustness, motion smoothness, system responsiveness, and the feasibility of physical deployment, rather than clinical effectiveness or motor recovery.</w:t>
      </w:r>
    </w:p>
    <w:p>
      <w:pPr>
        <w:ind w:firstLine="400"/>
        <w:jc w:val="both"/>
      </w:pPr>
      <w:r>
        <w:t>The rest of this paper is organized as follows. Section II introduces the magnetic tabletop platform and defines the adaptive pursuit control problem. Section III describes the virtual hand modeling approach, policy architecture, and training procedure. Section IV presents simulation experiments, ablation studies, and results from deploying the system on physical hardware without further training. Section V discusses the findings, limitations, and possible implications, and Section VI concludes the paper.</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[18]–[20].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[21], [22].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t>Classical artificial potential field and rule-based reactive controllers provide intuitive solutions for regulating the motion of a target relative to a pursuer [33], [34].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[28]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t>To improve robustness to diverse hand behaviors, we apply domain randomization to both pursuit strategy and motor execution [35]–[39].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[40].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[41], [42]. The head predicts relative hand displacement over a horizon of eight steps. Future displacements are available from the rollout, so this self-supervised auxiliary task requires no additional annotation [43].</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 [44].</w:t>
      </w:r>
    </w:p>
    <w:p w14:paraId="323FBF4C" w14:textId="77777777" w:rsidR="003F4541" w:rsidRDefault="00593922">
      <w:pPr>
        <w:ind w:firstLine="288"/>
        <w:jc w:val="both"/>
      </w:pPr>
      <w:r>
        <w:t>The training schedule separates the two sides of learning and retains older hand behaviors in a shared pool [45], [46].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[47].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YOLOv12-based microrobot detection [48], [49], MediaPipe Hands tracking [50], camera calibration, and a planar homography that mapped image coordinates to the workspace [51].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On this platform, task difficulty is set by how the target moves rather than by any direct mechanical assistance to the limb, so the controller must keep adjusting the pursuit challenge while keeping the microrobot within reach. The simulation results suggest that this regulation depends on information at two different scales. Within a single episode, recent relative motion helps the policy read how the interaction between hand and microrobot is developing. Across training, exposure to varied pursuit strategies and execution styles reduces how much the policy depends on any one virtual hand. The ablation and league experiments support these two roles respectively. Zero-shot deployment further shows that the learned policy can run inside a real vision and control loop and change target motion in response to measured shifts in hand speed. Together these results support adaptive target motion as a workable way to regulate a noncontact physical task, though the evidence so far speaks only to control robustness, online responsiveness, and system feasibility.</w:t>
      </w:r>
    </w:p>
    <w:p>
      <w:pPr>
        <w:ind w:firstLine="400"/>
        <w:jc w:val="both"/>
      </w:pPr>
      <w:r>
        <w:t>At any given distance between hand and microrobot, the right robot response can differ a great deal depending on how that distance came about. The hand may be speeding up toward the target, slowing down after a failed approach, changing direction, or reacting after some delay. None of these differences show up directly if the policy sees only the current geometric state. Encoding recent relative displacement adds information about which way the hand is moving and how the situation is unfolding. This matches the ablation results, where Time in Zone rose from 0.161 for the MLP baseline to 0.197 with the GRU, then to 0.259 once auxiliary dynamics prediction was added. Workspace coverage improved along the same progression, while mean jerk went down [52]. The auxiliary objective seems to strengthen the temporal representation by pushing the shared encoder to keep information useful for predicting hand motion a short time ahead. Prediction is not the end goal in itself; it simply gives a richer training signal for learning motion features that help with control. Policy performance therefore remains the main criterion, since predicting motion accurately does not by itself guarantee good regulation of task difficulty [40]–[43].</w:t>
      </w:r>
    </w:p>
    <w:p>
      <w:pPr>
        <w:ind w:firstLine="400"/>
        <w:jc w:val="both"/>
      </w:pPr>
      <w:r>
        <w:t>A second source of variability comes from differences between pursuit behaviors themselves. The scripted controller mostly produces direct pursuit, while learned hand policies can develop other patterns of interception and response. By separating how a strategy is generated from how it is executed, we can vary these behaviors further through inertia, limits on how fast motion can change, observation noise, and delay. League training widens the range of strategies further still, adding new hand policies while keeping earlier ones in the training pool. Performance across generations was not strictly monotonic, which reflects how the training distribution keeps shifting as robot and hand optimization alternate. Even so, mean Time in Zone across learned hands rose from 0.188 for the first robot generation to 0.282 for the final one, and the score against the toughest hand rose from 0.138 to 0.204. Comparing across individual conditions tells a similar story. A robot trained against a single learned hand did well against that closely matched opponent but got worse against scripted pursuit, while the league-trained policy stayed more balanced across scripted, learned, and manual pursuit. The main benefit of league training, then, is less specialization rather than the single highest score against any one behavior [44]–[47].</w:t>
      </w:r>
    </w:p>
    <w:p>
      <w:pPr>
        <w:ind w:firstLine="400"/>
        <w:jc w:val="both"/>
      </w:pPr>
      <w:r>
        <w:t>Moving the policy from simulation onto the UR10 platform brought in measurement noise, brief losses of tracking, communication delay, actuator dynamics, calibration error, and uncertainty in the magnetic drive [35]–[39]. The deployment experiment tested all of this within the full loop of overhead tracking, coordinate transformation, building the temporal observation, policy inference, sending Cartesian commands, and magnetic actuation. Short gaps in hand detection were handled by extrapolating the most recent hand state from its estimated velocity, rather than pausing control right away. Nine physical rollouts were completed with no further training of the policy. In the representative rollout, a rapid increase in hand speed first reduced the distance to the microrobot. The robot then sped up, and the distance moved back toward the target ZPD band. When the hand later slowed down, the microrobot slowed down too. This paired response suggests the deployed policy was not simply running a fixed escape behavior at constant speed. Even so, the experiment only offers preliminary evidence of online responsiveness and zero-shot closed-loop operation; it does not establish clinical safety, therapeutic value, or an advantage over other rehabilitation interfaces.</w:t>
      </w:r>
    </w:p>
    <w:p>
      <w:pPr>
        <w:ind w:firstLine="400"/>
        <w:jc w:val="both"/>
      </w:pPr>
      <w:r>
        <w:t>Several factors limit how far these findings can be generalized. The simulated execution layer represents inertia, motion limits, observation noise, and delay through simplified processes, not parameters measured from people with motor impairment. It widens the training distribution, but it should not be read as a biomechanical or neurological model of a patient population. The target ZPD band was also chosen for the current desktop platform and kept the same across simulation and deployment for consistency. How suitable it is likely depends on reachable workspace, movement speed, response delay, fatigue, and the goal of a particular session. The physical platform is also still a proof of concept rather than a device ready for deployment. The UR10 gives accurate and flexible actuation for validating the control framework, but its size, cost, and installation needs make it unsuitable for routine use in hospitals or community rehabilitation settings. A practical system will need a smaller and cheaper actuation mechanism, along with tighter integration of the camera, computing unit, magnetic drive, and tabletop workspace. The physical evaluation itself was limited to nine rollouts from one healthy pilot participant. Manual mouse pursuit brought in voluntary human decisions and reaction time, but it did not reproduce impaired hand biomechanics or the full uncertainty that comes with tracking a hand visually. No study across repeated sessions, patient evaluation, or physical comparison against controllers that move at a fixed speed or react only to distance was carried out. Claims about engagement, motor learning, functional recovery, and clinical benefit therefore remain outside the scope of the current results [2], [7], [11], [15], [16].</w:t>
      </w:r>
    </w:p>
    <w:p>
      <w:pPr>
        <w:ind w:firstLine="400"/>
        <w:jc w:val="both"/>
      </w:pPr>
      <w:r>
        <w:t>The next step is to test the controller under broader and more controlled physical conditions. Studies with more healthy participants across repeated sessions should compare policies that move at a fixed speed, that react to distance alone, that are trained against a single opponent, and that are trained through the league, all under matched tasks. Relevant outcomes include how long it takes to return to the target ZPD band after a sudden change in hand speed, sensitivity to tracking interruptions, smoothness of commands, boundary violations, and variation between users. Recorded trajectories could then be used to estimate how each person tends to move and to calibrate the target band to their movement ability and to the goals of that session. At the same time, the current robot arm prototype should be replaced with a compact, flat magnetic drive able to reproduce the required target motion in a much smaller and cheaper form. Bringing the actuator, camera, controller, and workspace together into a single self-contained device would cut down on setup and make the system easier to use in hospitals and community settings. Testing additional movement directions and target behaviors would also help show whether the learned regulation holds up beyond the present pursuit task. Only after these control and usability questions have been settled should evaluation move to patient participants, with attention to tolerance, fatigue, engagement, movement quality, and whether gains are retained across repeated sessions. Longer, longitudinal studies would ultimately be needed before any conclusions about rehabilitation outcomes can be drawn.</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p>
      <w:pPr>
        <w:pStyle w:val="1"/>
      </w:pPr>
      <w:r>
        <w:t>REFERENCES</w:t>
      </w:r>
    </w:p>
    <w:p>
      <w:pPr>
        <w:spacing w:before="0" w:after="0" w:line="240" w:lineRule="auto"/>
        <w:ind w:left="360" w:hanging="360"/>
        <w:jc w:val="both"/>
      </w:pPr>
      <w:r>
        <w:rPr>
          <w:rFonts w:ascii="Times New Roman" w:hAnsi="Times New Roman"/>
          <w:sz w:val="16"/>
        </w:rPr>
        <w:t>[1] GBD 2019 Stroke Collaborators, “Global, regional, and national burden of stroke and its risk factors, 1990–2019: a systematic analysis for the Global Burden of Disease Study 2019,” The Lancet Neurology, vol. 20, no. 10, pp. 795–820, 2021.</w:t>
      </w:r>
    </w:p>
    <w:p>
      <w:pPr>
        <w:spacing w:before="0" w:after="0" w:line="240" w:lineRule="auto"/>
        <w:ind w:left="360" w:hanging="360"/>
        <w:jc w:val="both"/>
      </w:pPr>
      <w:r>
        <w:rPr>
          <w:rFonts w:ascii="Times New Roman" w:hAnsi="Times New Roman"/>
          <w:sz w:val="16"/>
        </w:rPr>
        <w:t>[2] C. M. Stinear, C. E. Lang, S. Zeiler, and W. D. Byblow, “Advances and challenges in stroke rehabilitation,” The Lancet Neurology, vol. 19, no. 4, pp. 348–360, 2020.</w:t>
      </w:r>
    </w:p>
    <w:p>
      <w:pPr>
        <w:spacing w:before="0" w:after="0" w:line="240" w:lineRule="auto"/>
        <w:ind w:left="360" w:hanging="360"/>
        <w:jc w:val="both"/>
      </w:pPr>
      <w:r>
        <w:rPr>
          <w:rFonts w:ascii="Times New Roman" w:hAnsi="Times New Roman"/>
          <w:sz w:val="16"/>
        </w:rPr>
        <w:t>[3] M. Maier, B. Rubio Ballester, and P. F. M. J. Verschure, “Principles of neurorehabilitation after stroke based on motor learning and brain plasticity mechanisms,” Frontiers in Systems Neuroscience, vol. 13, art. 74, 2019.</w:t>
      </w:r>
    </w:p>
    <w:p>
      <w:pPr>
        <w:spacing w:before="0" w:after="0" w:line="240" w:lineRule="auto"/>
        <w:ind w:left="360" w:hanging="360"/>
        <w:jc w:val="both"/>
      </w:pPr>
      <w:r>
        <w:rPr>
          <w:rFonts w:ascii="Times New Roman" w:hAnsi="Times New Roman"/>
          <w:sz w:val="16"/>
        </w:rPr>
        <w:t>[4] C.-Y. Lee and T.-H. Howe, “Effectiveness of activity-based task-oriented training on upper extremity recovery for adults with stroke: A systematic review,” American Journal of Occupational Therapy, vol. 78, no. 2, art. 7802180070, 2024.</w:t>
      </w:r>
    </w:p>
    <w:p>
      <w:pPr>
        <w:spacing w:before="0" w:after="0" w:line="240" w:lineRule="auto"/>
        <w:ind w:left="360" w:hanging="360"/>
        <w:jc w:val="both"/>
      </w:pPr>
      <w:r>
        <w:rPr>
          <w:rFonts w:ascii="Times New Roman" w:hAnsi="Times New Roman"/>
          <w:sz w:val="16"/>
        </w:rPr>
        <w:t>[5] S. G. Rozevink, J. M. Hijmans, K. A. Horstink, and C. K. van der Sluis, “Effectiveness of task-specific training using assistive devices and task-specific usual care on upper limb performance after stroke: A systematic review and meta-analysis,” Disability and Rehabilitation: Assistive Technology, vol. 18, no. 7, pp. 1245–1258, 2023.</w:t>
      </w:r>
    </w:p>
    <w:p>
      <w:pPr>
        <w:spacing w:before="0" w:after="0" w:line="240" w:lineRule="auto"/>
        <w:ind w:left="360" w:hanging="360"/>
        <w:jc w:val="both"/>
      </w:pPr>
      <w:r>
        <w:rPr>
          <w:rFonts w:ascii="Times New Roman" w:hAnsi="Times New Roman"/>
          <w:sz w:val="16"/>
        </w:rPr>
        <w:t>[6] M. A. Guadagnoli and T. D. Lee, “Challenge point: A framework for conceptualizing the effects of various practice conditions in motor learning,” Journal of Motor Behavior, vol. 36, no. 2, pp. 212–224, 2004.</w:t>
      </w:r>
    </w:p>
    <w:p>
      <w:pPr>
        <w:spacing w:before="0" w:after="0" w:line="240" w:lineRule="auto"/>
        <w:ind w:left="360" w:hanging="360"/>
        <w:jc w:val="both"/>
      </w:pPr>
      <w:r>
        <w:rPr>
          <w:rFonts w:ascii="Times New Roman" w:hAnsi="Times New Roman"/>
          <w:sz w:val="16"/>
        </w:rPr>
        <w:t>[7] E. Gomes, G. Alder, F. A. S. Bright, and N. Signal, “Understanding task ‘challenge’ in stroke rehabilitation: An interdisciplinary concept analysis,” Disability and Rehabilitation, vol. 47, no. 3, pp. 560–570, 2025.</w:t>
      </w:r>
    </w:p>
    <w:p>
      <w:pPr>
        <w:spacing w:before="0" w:after="0" w:line="240" w:lineRule="auto"/>
        <w:ind w:left="360" w:hanging="360"/>
        <w:jc w:val="both"/>
      </w:pPr>
      <w:r>
        <w:rPr>
          <w:rFonts w:ascii="Times New Roman" w:hAnsi="Times New Roman"/>
          <w:sz w:val="16"/>
        </w:rPr>
        <w:t>[8] J. Mehrholz, M. Pohl, T. Platz, J. Kugler, and B. Elsner, “Electromechanical and robot-assisted arm training for improving activities of daily living, arm function, and arm muscle strength after stroke,” Cochrane Database of Systematic Reviews, no. 9, art. CD006876, 2018.</w:t>
      </w:r>
    </w:p>
    <w:p>
      <w:pPr>
        <w:spacing w:before="0" w:after="0" w:line="240" w:lineRule="auto"/>
        <w:ind w:left="360" w:hanging="360"/>
        <w:jc w:val="both"/>
      </w:pPr>
      <w:r>
        <w:rPr>
          <w:rFonts w:ascii="Times New Roman" w:hAnsi="Times New Roman"/>
          <w:sz w:val="16"/>
        </w:rPr>
        <w:t>[9] H. Rodgers et al., “Robot assisted training for the upper limb after stroke (RATULS): A multicentre randomised controlled trial,” The Lancet, vol. 394, no. 10192, pp. 51–62, 2019.</w:t>
      </w:r>
    </w:p>
    <w:p>
      <w:pPr>
        <w:spacing w:before="0" w:after="0" w:line="240" w:lineRule="auto"/>
        <w:ind w:left="360" w:hanging="360"/>
        <w:jc w:val="both"/>
      </w:pPr>
      <w:r>
        <w:rPr>
          <w:rFonts w:ascii="Times New Roman" w:hAnsi="Times New Roman"/>
          <w:sz w:val="16"/>
        </w:rPr>
        <w:t>[10] T. Su, M. Wang, Z. Chen, and L. Feng, “Effect of upper robot-assisted training on upper limb motor, daily life activities, and muscular tone in patients with stroke: A systematic review and meta-analysis,” Brain and Behavior, vol. 14, no. 11, art. e70117, 2024.</w:t>
      </w:r>
    </w:p>
    <w:p>
      <w:pPr>
        <w:spacing w:before="0" w:after="0" w:line="240" w:lineRule="auto"/>
        <w:ind w:left="360" w:hanging="360"/>
        <w:jc w:val="both"/>
      </w:pPr>
      <w:r>
        <w:rPr>
          <w:rFonts w:ascii="Times New Roman" w:hAnsi="Times New Roman"/>
          <w:sz w:val="16"/>
        </w:rPr>
        <w:t>[11] K. Boardsworth et al., “Upper limb robotic rehabilitation following stroke: A systematic review and meta-analysis investigating efficacy and the influence of device features and program parameters,” Journal of NeuroEngineering and Rehabilitation, vol. 22, art. 164, 2025.</w:t>
      </w:r>
    </w:p>
    <w:p>
      <w:pPr>
        <w:spacing w:before="0" w:after="0" w:line="240" w:lineRule="auto"/>
        <w:ind w:left="360" w:hanging="360"/>
        <w:jc w:val="both"/>
      </w:pPr>
      <w:r>
        <w:rPr>
          <w:rFonts w:ascii="Times New Roman" w:hAnsi="Times New Roman"/>
          <w:sz w:val="16"/>
        </w:rPr>
        <w:t>[12] H. Wang, X. Wu, Y. Li, and S. Yu, “Efficacy of robot-assisted training on upper limb motor function after stroke: A systematic review and network meta-analysis,” Archives of Rehabilitation Research and Clinical Translation, vol. 7, no. 1, art. 100387, 2025.</w:t>
      </w:r>
    </w:p>
    <w:p>
      <w:pPr>
        <w:spacing w:before="0" w:after="0" w:line="240" w:lineRule="auto"/>
        <w:ind w:left="360" w:hanging="360"/>
        <w:jc w:val="both"/>
      </w:pPr>
      <w:r>
        <w:rPr>
          <w:rFonts w:ascii="Times New Roman" w:hAnsi="Times New Roman"/>
          <w:sz w:val="16"/>
        </w:rPr>
        <w:t>[13] Q. Ai, Z. Liu, W. Meng, Q. Liu, and S. Q. Xie, “Machine learning in robot-assisted upper limb rehabilitation: A focused review,” IEEE Transactions on Cognitive and Developmental Systems, vol. 15, no. 4, pp. 2053–2063, 2023.</w:t>
      </w:r>
    </w:p>
    <w:p>
      <w:pPr>
        <w:spacing w:before="0" w:after="0" w:line="240" w:lineRule="auto"/>
        <w:ind w:left="360" w:hanging="360"/>
        <w:jc w:val="both"/>
      </w:pPr>
      <w:r>
        <w:rPr>
          <w:rFonts w:ascii="Times New Roman" w:hAnsi="Times New Roman"/>
          <w:sz w:val="16"/>
        </w:rPr>
        <w:t>[14] I. Doumas, G. Everard, S. Dehem, and T. Lejeune, “Serious games for upper limb rehabilitation after stroke: A meta-analysis,” Journal of NeuroEngineering and Rehabilitation, vol. 18, art. 100, 2021.</w:t>
      </w:r>
    </w:p>
    <w:p>
      <w:pPr>
        <w:spacing w:before="0" w:after="0" w:line="240" w:lineRule="auto"/>
        <w:ind w:left="360" w:hanging="360"/>
        <w:jc w:val="both"/>
      </w:pPr>
      <w:r>
        <w:rPr>
          <w:rFonts w:ascii="Times New Roman" w:hAnsi="Times New Roman"/>
          <w:sz w:val="16"/>
        </w:rPr>
        <w:t>[15] C. D. Kenea, T. G. Abessa, D. Lamba, and B. Bonnechère, “Immersive virtual reality in stroke rehabilitation: A systematic review and meta-analysis of its efficacy in upper limb recovery,” Journal of Clinical Medicine, vol. 14, no. 6, art. 1783, 2025.</w:t>
      </w:r>
    </w:p>
    <w:p>
      <w:pPr>
        <w:spacing w:before="0" w:after="0" w:line="240" w:lineRule="auto"/>
        <w:ind w:left="360" w:hanging="360"/>
        <w:jc w:val="both"/>
      </w:pPr>
      <w:r>
        <w:rPr>
          <w:rFonts w:ascii="Times New Roman" w:hAnsi="Times New Roman"/>
          <w:sz w:val="16"/>
        </w:rPr>
        <w:t>[16] A. Al Tawil et al., “Machine learning-based adaptive personalization in virtual reality stroke rehabilitation: A systematic review,” Frontiers in Rehabilitation Sciences, vol. 7, art. 1827658, 2026.</w:t>
      </w:r>
    </w:p>
    <w:p>
      <w:pPr>
        <w:spacing w:before="0" w:after="0" w:line="240" w:lineRule="auto"/>
        <w:ind w:left="360" w:hanging="360"/>
        <w:jc w:val="both"/>
      </w:pPr>
      <w:r>
        <w:rPr>
          <w:rFonts w:ascii="Times New Roman" w:hAnsi="Times New Roman"/>
          <w:sz w:val="16"/>
        </w:rPr>
        <w:t>[17] A. P. Arantes, N. Bressan, L. R. Borges, and C. A. McGibbon, “Evaluation of a novel real-time adaptive assist-as-needed controller for robot-assisted upper extremity rehabilitation following stroke,” PLOS ONE, vol. 18, no. 10, art. e0292627, 2023.</w:t>
      </w:r>
    </w:p>
    <w:p>
      <w:pPr>
        <w:spacing w:before="0" w:after="0" w:line="240" w:lineRule="auto"/>
        <w:ind w:left="360" w:hanging="360"/>
        <w:jc w:val="both"/>
      </w:pPr>
      <w:r>
        <w:rPr>
          <w:rFonts w:ascii="Times New Roman" w:hAnsi="Times New Roman"/>
          <w:sz w:val="16"/>
        </w:rPr>
        <w:t>[18] M. Sitti et al., “Biomedical applications of untethered mobile milli/microrobots,” Proceedings of the IEEE, vol. 103, no. 2, pp. 205–224, 2015.</w:t>
      </w:r>
    </w:p>
    <w:p>
      <w:pPr>
        <w:spacing w:before="0" w:after="0" w:line="240" w:lineRule="auto"/>
        <w:ind w:left="360" w:hanging="360"/>
        <w:jc w:val="both"/>
      </w:pPr>
      <w:r>
        <w:rPr>
          <w:rFonts w:ascii="Times New Roman" w:hAnsi="Times New Roman"/>
          <w:sz w:val="16"/>
        </w:rPr>
        <w:t>[19] Z. Yang and L. Zhang, “Magnetic actuation systems for miniature robots: A review,” Advanced Intelligent Systems, vol. 2, no. 9, art. 2000082, 2020.</w:t>
      </w:r>
    </w:p>
    <w:p>
      <w:pPr>
        <w:spacing w:before="0" w:after="0" w:line="240" w:lineRule="auto"/>
        <w:ind w:left="360" w:hanging="360"/>
        <w:jc w:val="both"/>
      </w:pPr>
      <w:r>
        <w:rPr>
          <w:rFonts w:ascii="Times New Roman" w:hAnsi="Times New Roman"/>
          <w:sz w:val="16"/>
        </w:rPr>
        <w:t>[20] J. Miao and S. Sun, “Design, actuation, and functionalization of untethered soft magnetic robots with life-like motions: A review,” Journal of Magnetism and Magnetic Materials, vol. 586, art. 171160, 2023.</w:t>
      </w:r>
    </w:p>
    <w:p>
      <w:pPr>
        <w:spacing w:before="0" w:after="0" w:line="240" w:lineRule="auto"/>
        <w:ind w:left="360" w:hanging="360"/>
        <w:jc w:val="both"/>
      </w:pPr>
      <w:r>
        <w:rPr>
          <w:rFonts w:ascii="Times New Roman" w:hAnsi="Times New Roman"/>
          <w:sz w:val="16"/>
        </w:rPr>
        <w:t>[21] L. S. Vygotsky, Mind in Society: The Development of Higher Psychological Processes. Cambridge, MA, USA: Harvard University Press, 1978.</w:t>
      </w:r>
    </w:p>
    <w:p>
      <w:pPr>
        <w:spacing w:before="0" w:after="0" w:line="240" w:lineRule="auto"/>
        <w:ind w:left="360" w:hanging="360"/>
        <w:jc w:val="both"/>
      </w:pPr>
      <w:r>
        <w:rPr>
          <w:rFonts w:ascii="Times New Roman" w:hAnsi="Times New Roman"/>
          <w:sz w:val="16"/>
        </w:rPr>
        <w:t>[22] N. Hocine, A. Gouaïch, S. A. Cerri, D. Mottet, J. Froger, and I. Laffont, “Adaptation in serious games for upper-limb rehabilitation: An approach to improve training outcomes,” User Modeling and User-Adapted Interaction, vol. 25, pp. 65–98, 2015.</w:t>
      </w:r>
    </w:p>
    <w:p>
      <w:pPr>
        <w:spacing w:before="0" w:after="0" w:line="240" w:lineRule="auto"/>
        <w:ind w:left="360" w:hanging="360"/>
        <w:jc w:val="both"/>
      </w:pPr>
      <w:r>
        <w:rPr>
          <w:rFonts w:ascii="Times New Roman" w:hAnsi="Times New Roman"/>
          <w:sz w:val="16"/>
        </w:rPr>
        <w:t>[23] Y. Shang, S. Bahrami, S. Gaardsmoe, A. Johnson, M. J. Johnson, and P. Diefenbach, “General purpose haptic/biometric-based dynamic difficulty adjustment for post-stroke upper-limb rehabilitation games,” in Proc. IEEE International Conference on Rehabilitation Robotics (ICORR), 2025, pp. 248–253.</w:t>
      </w:r>
    </w:p>
    <w:p>
      <w:pPr>
        <w:spacing w:before="0" w:after="0" w:line="240" w:lineRule="auto"/>
        <w:ind w:left="360" w:hanging="360"/>
        <w:jc w:val="both"/>
      </w:pPr>
      <w:r>
        <w:rPr>
          <w:rFonts w:ascii="Times New Roman" w:hAnsi="Times New Roman"/>
          <w:sz w:val="16"/>
        </w:rPr>
        <w:t>[24] O. S. Ajani and R. Mallipeddi, “Pareto-based dynamic difficulty adjustment of a competitive exergame for arm rehabilitation,” International Journal of Human-Computer Studies, vol. 178, art. 103100, 2023.</w:t>
      </w:r>
    </w:p>
    <w:p>
      <w:pPr>
        <w:spacing w:before="0" w:after="0" w:line="240" w:lineRule="auto"/>
        <w:ind w:left="360" w:hanging="360"/>
        <w:jc w:val="both"/>
      </w:pPr>
      <w:r>
        <w:rPr>
          <w:rFonts w:ascii="Times New Roman" w:hAnsi="Times New Roman"/>
          <w:sz w:val="16"/>
        </w:rPr>
        <w:t>[25] L. Víteková, C. Eichhorn, J. Pirker, and D. A. Plecher, “Dynamic difficulty adjustment in serious games: A literature review,” Information, vol. 17, no. 1, art. 96, 2026.</w:t>
      </w:r>
    </w:p>
    <w:p>
      <w:pPr>
        <w:spacing w:before="0" w:after="0" w:line="240" w:lineRule="auto"/>
        <w:ind w:left="360" w:hanging="360"/>
        <w:jc w:val="both"/>
      </w:pPr>
      <w:r>
        <w:rPr>
          <w:rFonts w:ascii="Times New Roman" w:hAnsi="Times New Roman"/>
          <w:sz w:val="16"/>
        </w:rPr>
        <w:t>[26] R. S. Sutton and A. G. Barto, Reinforcement Learning: An Introduction, 2nd ed. Cambridge, MA, USA: MIT Press, 2018.</w:t>
      </w:r>
    </w:p>
    <w:p>
      <w:pPr>
        <w:spacing w:before="0" w:after="0" w:line="240" w:lineRule="auto"/>
        <w:ind w:left="360" w:hanging="360"/>
        <w:jc w:val="both"/>
      </w:pPr>
      <w:r>
        <w:rPr>
          <w:rFonts w:ascii="Times New Roman" w:hAnsi="Times New Roman"/>
          <w:sz w:val="16"/>
        </w:rPr>
        <w:t>[27] J. Kober, J. A. Bagnell, and J. Peters, “Reinforcement learning in robotics: A survey,” The International Journal of Robotics Research, vol. 32, no. 11, pp. 1238–1274, 2013.</w:t>
      </w:r>
    </w:p>
    <w:p>
      <w:pPr>
        <w:spacing w:before="0" w:after="0" w:line="240" w:lineRule="auto"/>
        <w:ind w:left="360" w:hanging="360"/>
        <w:jc w:val="both"/>
      </w:pPr>
      <w:r>
        <w:rPr>
          <w:rFonts w:ascii="Times New Roman" w:hAnsi="Times New Roman"/>
          <w:sz w:val="16"/>
        </w:rPr>
        <w:t>[28] J. Schulman, F. Wolski, P. Dhariwal, A. Radford, and O. Klimov, “Proximal policy optimization algorithms,” arXiv:1707.06347, 2017.</w:t>
      </w:r>
    </w:p>
    <w:p>
      <w:pPr>
        <w:spacing w:before="0" w:after="0" w:line="240" w:lineRule="auto"/>
        <w:ind w:left="360" w:hanging="360"/>
        <w:jc w:val="both"/>
      </w:pPr>
      <w:r>
        <w:rPr>
          <w:rFonts w:ascii="Times New Roman" w:hAnsi="Times New Roman"/>
          <w:sz w:val="16"/>
        </w:rPr>
        <w:t>[29] R. Molle, C. Tamantini, C. Lauretti, E. M. Romano, and L. Zollo, “An online reinforcement learning method to improve control adaptability in robot-aided rehabilitation,” Engineering Applications of Artificial Intelligence, vol. 161, art. 112248, 2025.</w:t>
      </w:r>
    </w:p>
    <w:p>
      <w:pPr>
        <w:spacing w:before="0" w:after="0" w:line="240" w:lineRule="auto"/>
        <w:ind w:left="360" w:hanging="360"/>
        <w:jc w:val="both"/>
      </w:pPr>
      <w:r>
        <w:rPr>
          <w:rFonts w:ascii="Times New Roman" w:hAnsi="Times New Roman"/>
          <w:sz w:val="16"/>
        </w:rPr>
        <w:t>[30] S. Pareek, H. Nisar, and T. Kesavadas, “AR3n: A reinforcement learning-based assist-as-needed controller for robotic rehabilitation,” IEEE Robotics &amp; Automation Magazine, vol. 31, no. 3, pp. 74–82, 2024.</w:t>
      </w:r>
    </w:p>
    <w:p>
      <w:pPr>
        <w:spacing w:before="0" w:after="0" w:line="240" w:lineRule="auto"/>
        <w:ind w:left="360" w:hanging="360"/>
        <w:jc w:val="both"/>
      </w:pPr>
      <w:r>
        <w:rPr>
          <w:rFonts w:ascii="Times New Roman" w:hAnsi="Times New Roman"/>
          <w:sz w:val="16"/>
        </w:rPr>
        <w:t>[31] Y. Zhang, S. Li, K. J. Nolan, and D. Zanotto, “Shaping individualized impedance landscapes for gait training via reinforcement learning,” IEEE Transactions on Medical Robotics and Bionics, vol. 4, no. 1, pp. 194–205, 2022.</w:t>
      </w:r>
    </w:p>
    <w:p>
      <w:pPr>
        <w:spacing w:before="0" w:after="0" w:line="240" w:lineRule="auto"/>
        <w:ind w:left="360" w:hanging="360"/>
        <w:jc w:val="both"/>
      </w:pPr>
      <w:r>
        <w:rPr>
          <w:rFonts w:ascii="Times New Roman" w:hAnsi="Times New Roman"/>
          <w:sz w:val="16"/>
        </w:rPr>
        <w:t>[32] A. D. Pelosi, N. Roth, T. Yehoshua, D. Itah, O. Braun Benyamin, and A. Dahan, “Personalized rehabilitation approach for reaching movement using reinforcement learning,” Scientific Reports, vol. 14, art. 17675, 2024.</w:t>
      </w:r>
    </w:p>
    <w:p>
      <w:pPr>
        <w:spacing w:before="0" w:after="0" w:line="240" w:lineRule="auto"/>
        <w:ind w:left="360" w:hanging="360"/>
        <w:jc w:val="both"/>
      </w:pPr>
      <w:r>
        <w:rPr>
          <w:rFonts w:ascii="Times New Roman" w:hAnsi="Times New Roman"/>
          <w:sz w:val="16"/>
        </w:rPr>
        <w:t>[33] O. Khatib, “Real-time obstacle avoidance for manipulators and mobile robots,” The International Journal of Robotics Research, vol. 5, no. 1, pp. 90–98, 1986.</w:t>
      </w:r>
    </w:p>
    <w:p>
      <w:pPr>
        <w:spacing w:before="0" w:after="0" w:line="240" w:lineRule="auto"/>
        <w:ind w:left="360" w:hanging="360"/>
        <w:jc w:val="both"/>
      </w:pPr>
      <w:r>
        <w:rPr>
          <w:rFonts w:ascii="Times New Roman" w:hAnsi="Times New Roman"/>
          <w:sz w:val="16"/>
        </w:rPr>
        <w:t>[34] H. J. Lee, M.-S. Kim, and M. C. Lee, “Path planning based on artificial potential field with an enhanced virtual hill algorithm,” Applied Sciences, vol. 14, no. 18, art. 8292, 2024.</w:t>
      </w:r>
    </w:p>
    <w:p>
      <w:pPr>
        <w:spacing w:before="0" w:after="0" w:line="240" w:lineRule="auto"/>
        <w:ind w:left="360" w:hanging="360"/>
        <w:jc w:val="both"/>
      </w:pPr>
      <w:r>
        <w:rPr>
          <w:rFonts w:ascii="Times New Roman" w:hAnsi="Times New Roman"/>
          <w:sz w:val="16"/>
        </w:rPr>
        <w:t>[35] J. Tobin et al., “Domain randomization for transferring deep neural networks from simulation to the real world,” in Proc. IEEE/RSJ International Conference on Intelligent Robots and Systems (IROS), 2017, pp. 23–30.</w:t>
      </w:r>
    </w:p>
    <w:p>
      <w:pPr>
        <w:spacing w:before="0" w:after="0" w:line="240" w:lineRule="auto"/>
        <w:ind w:left="360" w:hanging="360"/>
        <w:jc w:val="both"/>
      </w:pPr>
      <w:r>
        <w:rPr>
          <w:rFonts w:ascii="Times New Roman" w:hAnsi="Times New Roman"/>
          <w:sz w:val="16"/>
        </w:rPr>
        <w:t>[36] X. B. Peng, M. Andrychowicz, W. Zaremba, and P. Abbeel, “Sim-to-real transfer of robotic control with dynamics randomization,” in Proc. IEEE International Conference on Robotics and Automation (ICRA), 2018, pp. 3803–3810.</w:t>
      </w:r>
    </w:p>
    <w:p>
      <w:pPr>
        <w:spacing w:before="0" w:after="0" w:line="240" w:lineRule="auto"/>
        <w:ind w:left="360" w:hanging="360"/>
        <w:jc w:val="both"/>
      </w:pPr>
      <w:r>
        <w:rPr>
          <w:rFonts w:ascii="Times New Roman" w:hAnsi="Times New Roman"/>
          <w:sz w:val="16"/>
        </w:rPr>
        <w:t>[37] F. Muratore, F. Ramos, G. Turk, W. Yu, M. Gienger, and J. Peters, “Robot learning from randomized simulations: A review,” Frontiers in Robotics and AI, vol. 9, art. 799893, 2022.</w:t>
      </w:r>
    </w:p>
    <w:p>
      <w:pPr>
        <w:spacing w:before="0" w:after="0" w:line="240" w:lineRule="auto"/>
        <w:ind w:left="360" w:hanging="360"/>
        <w:jc w:val="both"/>
      </w:pPr>
      <w:r>
        <w:rPr>
          <w:rFonts w:ascii="Times New Roman" w:hAnsi="Times New Roman"/>
          <w:sz w:val="16"/>
        </w:rPr>
        <w:t>[38] Y. Chebotar et al., “Closing the sim-to-real loop: Adapting simulation randomization with real world experience,” in Proc. IEEE International Conference on Robotics and Automation (ICRA), 2019, pp. 8973–8979.</w:t>
      </w:r>
    </w:p>
    <w:p>
      <w:pPr>
        <w:spacing w:before="0" w:after="0" w:line="240" w:lineRule="auto"/>
        <w:ind w:left="360" w:hanging="360"/>
        <w:jc w:val="both"/>
      </w:pPr>
      <w:r>
        <w:rPr>
          <w:rFonts w:ascii="Times New Roman" w:hAnsi="Times New Roman"/>
          <w:sz w:val="16"/>
        </w:rPr>
        <w:t>[39] G. Tiboni, K. Arndt, and V. Kyrki, “DROPO: Sim-to-real transfer with offline domain randomization,” Robotics and Autonomous Systems, vol. 166, art. 104432, 2023.</w:t>
      </w:r>
    </w:p>
    <w:p>
      <w:pPr>
        <w:spacing w:before="0" w:after="0" w:line="240" w:lineRule="auto"/>
        <w:ind w:left="360" w:hanging="360"/>
        <w:jc w:val="both"/>
      </w:pPr>
      <w:r>
        <w:rPr>
          <w:rFonts w:ascii="Times New Roman" w:hAnsi="Times New Roman"/>
          <w:sz w:val="16"/>
        </w:rPr>
        <w:t>[40] K. Cho et al., “Learning phrase representations using RNN encoder–decoder for statistical machine translation,” in Proc. Conference on Empirical Methods in Natural Language Processing (EMNLP), 2014, pp. 1724–1734.</w:t>
      </w:r>
    </w:p>
    <w:p>
      <w:pPr>
        <w:spacing w:before="0" w:after="0" w:line="240" w:lineRule="auto"/>
        <w:ind w:left="360" w:hanging="360"/>
        <w:jc w:val="both"/>
      </w:pPr>
      <w:r>
        <w:rPr>
          <w:rFonts w:ascii="Times New Roman" w:hAnsi="Times New Roman"/>
          <w:sz w:val="16"/>
        </w:rPr>
        <w:t>[41] M. Jaderberg et al., “Reinforcement learning with unsupervised auxiliary tasks,” in Proc. International Conference on Learning Representations (ICLR), 2017.</w:t>
      </w:r>
    </w:p>
    <w:p>
      <w:pPr>
        <w:spacing w:before="0" w:after="0" w:line="240" w:lineRule="auto"/>
        <w:ind w:left="360" w:hanging="360"/>
        <w:jc w:val="both"/>
      </w:pPr>
      <w:r>
        <w:rPr>
          <w:rFonts w:ascii="Times New Roman" w:hAnsi="Times New Roman"/>
          <w:sz w:val="16"/>
        </w:rPr>
        <w:t>[42] M. Schwarzer, A. Anand, R. Goel, R. D. Hjelm, A. Courville, and P. Bachman, “Data-efficient reinforcement learning with self-predictive representations,” in Proc. International Conference on Learning Representations (ICLR), 2021.</w:t>
      </w:r>
    </w:p>
    <w:p>
      <w:pPr>
        <w:spacing w:before="0" w:after="0" w:line="240" w:lineRule="auto"/>
        <w:ind w:left="360" w:hanging="360"/>
        <w:jc w:val="both"/>
      </w:pPr>
      <w:r>
        <w:rPr>
          <w:rFonts w:ascii="Times New Roman" w:hAnsi="Times New Roman"/>
          <w:sz w:val="16"/>
        </w:rPr>
        <w:t>[43] D. Pathak, P. Agrawal, A. A. Efros, and T. Darrell, “Curiosity-driven exploration by self-supervised prediction,” in Proc. International Conference on Machine Learning (ICML), 2017, pp. 2778–2787.</w:t>
      </w:r>
    </w:p>
    <w:p>
      <w:pPr>
        <w:spacing w:before="0" w:after="0" w:line="240" w:lineRule="auto"/>
        <w:ind w:left="360" w:hanging="360"/>
        <w:jc w:val="both"/>
      </w:pPr>
      <w:r>
        <w:rPr>
          <w:rFonts w:ascii="Times New Roman" w:hAnsi="Times New Roman"/>
          <w:sz w:val="16"/>
        </w:rPr>
        <w:t>[44] M. Lanctot et al., “A unified game-theoretic approach to multiagent reinforcement learning,” in Advances in Neural Information Processing Systems, vol. 30, 2017.</w:t>
      </w:r>
    </w:p>
    <w:p>
      <w:pPr>
        <w:spacing w:before="0" w:after="0" w:line="240" w:lineRule="auto"/>
        <w:ind w:left="360" w:hanging="360"/>
        <w:jc w:val="both"/>
      </w:pPr>
      <w:r>
        <w:rPr>
          <w:rFonts w:ascii="Times New Roman" w:hAnsi="Times New Roman"/>
          <w:sz w:val="16"/>
        </w:rPr>
        <w:t>[45] O. Vinyals et al., “Grandmaster level in StarCraft II using multi-agent reinforcement learning,” Nature, vol. 575, pp. 350–354, 2019.</w:t>
      </w:r>
    </w:p>
    <w:p>
      <w:pPr>
        <w:spacing w:before="0" w:after="0" w:line="240" w:lineRule="auto"/>
        <w:ind w:left="360" w:hanging="360"/>
        <w:jc w:val="both"/>
      </w:pPr>
      <w:r>
        <w:rPr>
          <w:rFonts w:ascii="Times New Roman" w:hAnsi="Times New Roman"/>
          <w:sz w:val="16"/>
        </w:rPr>
        <w:t>[46] M. Jaderberg et al., “Human-level performance in 3D multiplayer games with population-based reinforcement learning,” Science, vol. 364, no. 6443, pp. 859–865, 2019.</w:t>
      </w:r>
    </w:p>
    <w:p>
      <w:pPr>
        <w:spacing w:before="0" w:after="0" w:line="240" w:lineRule="auto"/>
        <w:ind w:left="360" w:hanging="360"/>
        <w:jc w:val="both"/>
      </w:pPr>
      <w:r>
        <w:rPr>
          <w:rFonts w:ascii="Times New Roman" w:hAnsi="Times New Roman"/>
          <w:sz w:val="16"/>
        </w:rPr>
        <w:t>[47] R. Huang, X. Wu, H. Yu, Z. Fan, H. Fu, Q. Fu, and W. Yang, “A robust and opponent-aware league training method for StarCraft II,” in Advances in Neural Information Processing Systems, vol. 36, 2023.</w:t>
      </w:r>
    </w:p>
    <w:p>
      <w:pPr>
        <w:spacing w:before="0" w:after="0" w:line="240" w:lineRule="auto"/>
        <w:ind w:left="360" w:hanging="360"/>
        <w:jc w:val="both"/>
      </w:pPr>
      <w:r>
        <w:rPr>
          <w:rFonts w:ascii="Times New Roman" w:hAnsi="Times New Roman"/>
          <w:sz w:val="16"/>
        </w:rPr>
        <w:t>[48] J. Redmon, S. Divvala, R. Girshick, and A. Farhadi, “You only look once: Unified, real-time object detection,” in Proc. IEEE Conference on Computer Vision and Pattern Recognition (CVPR), 2016, pp. 779–788.</w:t>
      </w:r>
    </w:p>
    <w:p>
      <w:pPr>
        <w:spacing w:before="0" w:after="0" w:line="240" w:lineRule="auto"/>
        <w:ind w:left="360" w:hanging="360"/>
        <w:jc w:val="both"/>
      </w:pPr>
      <w:r>
        <w:rPr>
          <w:rFonts w:ascii="Times New Roman" w:hAnsi="Times New Roman"/>
          <w:sz w:val="16"/>
        </w:rPr>
        <w:t>[49] Y. Tian, Q. Ye, and D. Doermann, “YOLOv12: Attention-centric real-time object detectors,” in Advances in Neural Information Processing Systems, vol. 38, pp. 78433–78457, 2025.</w:t>
      </w:r>
    </w:p>
    <w:p>
      <w:pPr>
        <w:spacing w:before="0" w:after="0" w:line="240" w:lineRule="auto"/>
        <w:ind w:left="360" w:hanging="360"/>
        <w:jc w:val="both"/>
      </w:pPr>
      <w:r>
        <w:rPr>
          <w:rFonts w:ascii="Times New Roman" w:hAnsi="Times New Roman"/>
          <w:sz w:val="16"/>
        </w:rPr>
        <w:t>[50] F. Zhang et al., “MediaPipe Hands: On-device real-time hand tracking,” arXiv:2006.10214, 2020.</w:t>
      </w:r>
    </w:p>
    <w:p>
      <w:pPr>
        <w:spacing w:before="0" w:after="0" w:line="240" w:lineRule="auto"/>
        <w:ind w:left="360" w:hanging="360"/>
        <w:jc w:val="both"/>
      </w:pPr>
      <w:r>
        <w:rPr>
          <w:rFonts w:ascii="Times New Roman" w:hAnsi="Times New Roman"/>
          <w:sz w:val="16"/>
        </w:rPr>
        <w:t>[51] Z. Zhang, “A flexible new technique for camera calibration,” IEEE Transactions on Pattern Analysis and Machine Intelligence, vol. 22, no. 11, pp. 1330–1334, 2000.</w:t>
      </w:r>
    </w:p>
    <w:p>
      <w:pPr>
        <w:spacing w:before="0" w:after="0" w:line="240" w:lineRule="auto"/>
        <w:ind w:left="360" w:hanging="360"/>
        <w:jc w:val="both"/>
      </w:pPr>
      <w:r>
        <w:rPr>
          <w:rFonts w:ascii="Times New Roman" w:hAnsi="Times New Roman"/>
          <w:sz w:val="16"/>
        </w:rPr>
        <w:t>[52] S. Balasubramanian et al., “On the analysis of movement smoothness,” Journal of NeuroEngineering and Rehabilitation, vol. 12, art. 112, 2015.</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