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[1], [2]. Repetitive, task-oriented practice is widely adopted to drive motor relearning, because it encourages users to actively generate movements, evaluate outcomes, and make continuous corrections [3]–[5].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[6], [7].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[8]–[13]. Virtual reality systems, motion-capture games, and screen-based exercises further expand training scenarios by adding visual feedback, scoring, and game-like progression [14]–[16]. Together, these approaches address a wide range of rehabilitation needs, from personalized clinical guidance to intensive repetition, objective assessment, and task variety.</w:t>
      </w:r>
    </w:p>
    <w:p>
      <w:pPr>
        <w:ind w:firstLine="400"/>
        <w:jc w:val="both"/>
      </w:pPr>
      <w:r>
        <w:t>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[17]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[18]–[20]. This design keeps direct physical interaction while reducing the equipment worn by the user and enabling programmable, adaptive training.</w:t>
      </w:r>
    </w:p>
    <w:p>
      <w:pPr>
        <w:ind w:firstLine="400"/>
        <w:jc w:val="both"/>
      </w:pPr>
      <w:r>
        <w:t>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[21], [22]. Achieving this requires continuous adjustment to changes in hand speed, movement direction, reaction delay, and pursuit strategy. Fixed paths and preset speeds cannot handle such variation [23]–[25].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[26]. RL has proven effective in robotic manipulation, locomotion, human-robot interaction, and adaptive rehabilitation control [27]–[32].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beneath the workspace, and a permanent magnet is mounted on its end effector to drive the microrobot above [18]–[20].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The Zone of Proximal Development (ZPD) is defined operationally as a target range for the distance between the hand and microrobot [21], [22].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Classical artificial potential field and rule-based reactive controllers provide intuitive solutions for regulating the motion of a target relative to a pursuer [33], [34].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[28] is summarized as</w:t>
      </w:r>
    </w:p>
    <w:p w14:paraId="4C5FB8EE" w14:textId="77777777" w:rsidR="003F4541" w:rsidRDefault="00522F3F">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To improve robustness to diverse hand behaviors, we apply domain randomization to both pursuit strategy and motor execution [35]–[39].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w:t>
      </w:r>
    </w:p>
    <w:p w14:paraId="54837308" w14:textId="77777777" w:rsidR="003F4541" w:rsidRDefault="00522F3F">
      <w:pPr>
        <w:pStyle w:val="DisplayEquation"/>
        <w:spacing w:before="60" w:after="60"/>
        <w:jc w:val="center"/>
      </w:pPr>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The change from the preceding executed displacement is then limited by its Euclidean norm,</w:t>
      </w:r>
    </w:p>
    <w:p w14:paraId="3ABA85F4" w14:textId="2197EA4B" w:rsidR="003F4541" w:rsidRDefault="00522F3F">
      <w:pPr>
        <w:pStyle w:val="DisplayEquation"/>
        <w:spacing w:before="60" w:after="60"/>
        <w:jc w:val="center"/>
      </w:pPr>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 xml:space="preserve">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w:t>
      </w:r>
      <w:proofErr w:type="spellStart"/>
      <w:r>
        <w:t>position.</w:t>
      </w:r>
      <w:proofErr w:type="spellEnd"/>
    </w:p>
    <w:p w14:paraId="5D2772B7" w14:textId="77777777" w:rsidR="003F4541" w:rsidRDefault="00522F3F">
      <w:pPr>
        <w:pStyle w:val="DisplayEquation"/>
        <w:spacing w:before="60" w:after="60"/>
        <w:jc w:val="center"/>
      </w:pPr>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Equation (5) applies the executed displacement to the hand position. Delay and observation noise are introduced separately by the motor execution layer. Under a constant intended displacement, the filtered and executed increments converge to a constant value rather than decaying toward zero.</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smoothing coefficient</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inter-step displacement change</w:t>
            </w:r>
          </w:p>
        </w:tc>
        <w:tc>
          <w:tcPr>
            <w:tcW w:w="3408" w:type="dxa"/>
            <w:vAlign w:val="center"/>
          </w:tcPr>
          <w:p w14:paraId="43F91444" w14:textId="77777777" w:rsidR="003F4541" w:rsidRDefault="00593922">
            <w:pPr>
              <w:jc w:val="center"/>
            </w:pPr>
            <w:r>
              <w:rPr>
                <w:sz w:val="17"/>
              </w:rPr>
              <w:t>c_max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Uniform 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 dimensions, as shown in (6).</w:t>
      </w:r>
    </w:p>
    <w:p w14:paraId="7728EC98" w14:textId="77777777" w:rsidR="003F4541" w:rsidRDefault="00522F3F">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22F3F">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The scalar vector and temporal buffer are encoded in separate streams, as shown in Fig. 2. A multilayer perceptron (MLP) extracts geometric information from the scalar state, while a gated recurrent unit (GRU) processes the displacement sequence [40].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supervises the encoder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The trajectory prediction loss is given in (8).</w:t>
      </w:r>
    </w:p>
    <w:p w14:paraId="56EECD55" w14:textId="77777777" w:rsidR="003F4541" w:rsidRDefault="00522F3F">
      <w:pPr>
        <w:pStyle w:val="DisplayEquation"/>
        <w:spacing w:before="60" w:after="60"/>
        <w:jc w:val="center"/>
      </w:pPr>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Here, D_hat_{t+1:t+H} is the predicted future displacement sequence, and D_{t+1:t+H} is the observed future displacement sequence. The full training objective combines the PPO loss with the auxiliary trajectory prediction loss in (9).</w:t>
      </w:r>
    </w:p>
    <w:p w14:paraId="422B1088" w14:textId="77777777" w:rsidR="003F4541" w:rsidRDefault="00522F3F">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rsidRPr="00F772BD">
        <w:t>The coefficient</w:t>
      </w:r>
      <w:r w:rsidR="00187A1D">
        <w:t xml:space="preserve"> </w:t>
      </w:r>
      <w:proofErr w:type="spellStart"/>
      <w:r w:rsidR="00593922">
        <w:t>lambda_traj</w:t>
      </w:r>
      <w:proofErr w:type="spellEnd"/>
      <w:r w:rsidR="00593922">
        <w:t xml:space="preserve">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[44].</w:t>
      </w:r>
    </w:p>
    <w:p w14:paraId="323FBF4C" w14:textId="77777777" w:rsidR="003F4541" w:rsidRDefault="00593922">
      <w:pPr>
        <w:ind w:firstLine="288"/>
        <w:jc w:val="both"/>
      </w:pPr>
      <w:r>
        <w:t>The training schedule separates the two sides of learning and retains older hand behaviors in a shared pool [45], [46].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[47].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YOLOv12-based microrobot detection [48], [49], MediaPipe Hands tracking [50], camera calibration, and a planar homography that mapped image coordinates to the workspace [51].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r>
        <w:t xml:space="preserve">Fig. 5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r>
      <w:r>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[52].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[40]–[43].</w:t>
      </w:r>
    </w:p>
    <w:p>
      <w:pPr>
        <w:ind w:firstLine="400"/>
        <w:jc w:val="both"/>
      </w:pPr>
      <w:r>
        <w:t>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[44]–[47].</w:t>
      </w:r>
    </w:p>
    <w:p>
      <w:pPr>
        <w:ind w:firstLine="400"/>
        <w:jc w:val="both"/>
      </w:pPr>
      <w:r>
        <w:t>Moving the policy from simulation onto the UR10 platform brought in measurement noise, brief losses of tracking, communication delay, actuator dynamics, calibration error, and uncertainty in the magnetic drive [35]–[39].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Nine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The target ZPD band was also chosen for the current desktop platform and kept the same across simulation and deployment for consistency. How suitable it is likely depends on reachable workspace, movement speed, response delay, fatigue, and the goal of a particular session.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itself was limited to nine rollouts from one healthy pilot participant. Manual mouse pursuit brought in voluntary human decisions and reaction time, but it did not reproduce impaired hand biomechanics or the full uncertainty that comes with tracking a hand visually. No study across repeated sessions, patient evaluation, or physical comparison against controllers that move at a fixed speed or react only to distance was carried out. Claims about engagement, motor learning, functional recovery, and clinical benefit therefore remain outside the scope of the current results [2], [7], [11], [15], [16].</w:t>
      </w:r>
    </w:p>
    <w:p>
      <w:pPr>
        <w:ind w:firstLine="400"/>
        <w:jc w:val="both"/>
      </w:pPr>
      <w:r>
        <w:t>The next step is to test the controller under broader and more controlled physical conditions. Studies with more healthy participants across repeated sessions should compare policies that move at a fixed speed, that react to distance alone,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r>
        <w:rPr>
          <w:rFonts w:ascii="Times New Roman" w:hAnsi="Times New Roman"/>
          <w:sz w:val="16"/>
        </w:rPr>
        <w:t>[50] F. Zhang et al., “MediaPipe Hands: On-device real-time hand tracking,” arXiv:2006.10214, 2020.</w:t>
      </w:r>
    </w:p>
    <w:p>
      <w:pPr>
        <w:spacing w:before="0" w:after="0" w:line="240" w:lineRule="auto"/>
        <w:ind w:left="360" w:hanging="360"/>
        <w:jc w:val="both"/>
      </w:pPr>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