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 execution parameters used for randomization are summarized in </w:t>
      </w:r>
      <w:hyperlink w:anchor="tab_I" w:history="1">
        <w:r>
          <w:rPr>
            <w:color w:val="008ADB"/>
            <w:u w:val="single"/>
          </w:rPr>
          <w:t xml:space="preserve">Table I</w:t>
        </w:r>
      </w:hyperlink>
      <w:r>
        <w:t xml:space="preserve">.</w:t>
      </w:r>
    </w:p>
    <w:p w14:paraId="48BED7BB" w14:textId="77777777" w:rsidR="003F4541" w:rsidRDefault="00593922">
      <w:pPr>
        <w:pStyle w:val="IEEECaption"/>
        <w:jc w:val="center"/>
      </w:pPr>
      <w:bookmarkStart w:id="7" w:name="tab_I"/>
      <w:bookmarkEnd w:id="7"/>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 w:history="1">
        <w:r>
          <w:rPr>
            <w:color w:val="008ADB"/>
            <w:u w:val="single"/>
          </w:rPr>
          <w:t xml:space="preserve">Table I</w:t>
        </w:r>
      </w:hyperlink>
      <w:r>
        <w:t xml:space="preserve">I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