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Consistent with magnetic milli/microrobotics terminology, the target is an unpowered magnetic body actuated over a desktop-scale workspace rather than a self-propelled onboard device.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terminology is used as an operational control analogy for maintaining the task between trivial pursuit and unreachable escape, rather than as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rollout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