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In the terminology of magnetic milli/microrobotics, the interaction target is an unpowered magnetic body actuated over a desktop-scale workspace rather than a self-propelled onboard device. The user interacts with this target on a tabletop workspace, while a robotic arm drives it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The ZPD label denotes an operational control analogy for maintaining the task between trivial pursuit and unreachable escape, rather than a psychometric estimate of learning potential.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 The simulation-environment settings and implemented reward functions and coefficients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 The experiments used N = 10 league iterations, leaving a final pool with the SPC and ten learned hand policies. At this scale, policy storage and PFSP sampling were not computational bottlenecks because each rollout samples one hand policy. Larger leagues could prune or down-weight redundant policies using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 The reinforcement-learning training hyperparameters, auxiliary-objective settings, and league-sampling constants are reported in the Supplementary Material.</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physical rollout in Section IV.D used the same target ZPD band for zero-shot consistency, not to suggest that this operating setting is clinically optimal for every user. Evaluation and deployment protocol details are provided in the Supplementary Material.</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hyperlink w:anchor="tab_II" w:history="1">
        <w:r>
          <w:rPr>
            <w:color w:val="008ADB"/>
            <w:u w:val="single"/>
          </w:rPr>
          <w:t xml:space="preserve">Table II</w:t>
        </w:r>
      </w:hyperlink>
      <w:r>
        <w:t xml:space="preserve"> extends the cross-generation analysis in </w:t>
      </w:r>
      <w:hyperlink w:anchor="fig_3" w:history="1">
        <w:r>
          <w:rPr>
            <w:color w:val="008ADB"/>
            <w:u w:val="single"/>
          </w:rPr>
          <w:t xml:space="preserve">Fig. 3</w:t>
        </w:r>
      </w:hyperlink>
      <w:r>
        <w:t xml:space="preserve">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