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an end-to-end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 xml:space="preserve">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w:t>
      </w:r>
      <w:hyperlink w:anchor="bib_1" w:history="1">
        <w:r>
          <w:rPr>
            <w:color w:val="008ADB"/>
            <w:u w:val="single"/>
          </w:rPr>
          <w:t xml:space="preserve">[1]</w:t>
        </w:r>
      </w:hyperlink>
      <w:r>
        <w:t xml:space="preserve">, </w:t>
      </w:r>
      <w:hyperlink w:anchor="bib_2" w:history="1">
        <w:r>
          <w:rPr>
            <w:color w:val="008ADB"/>
            <w:u w:val="single"/>
          </w:rPr>
          <w:t xml:space="preserve">[2]</w:t>
        </w:r>
      </w:hyperlink>
      <w:r>
        <w:t xml:space="preserve">. Repetitive, task-oriented practice is widely adopted to drive motor relearning, because it encourages users to actively generate movements, evaluate outcomes, and make continuous corrections </w:t>
      </w:r>
      <w:hyperlink w:anchor="bib_3" w:history="1">
        <w:r>
          <w:rPr>
            <w:color w:val="008ADB"/>
            <w:u w:val="single"/>
          </w:rPr>
          <w:t xml:space="preserve">[3]</w:t>
        </w:r>
      </w:hyperlink>
      <w:r>
        <w:t xml:space="preserve">–</w:t>
      </w:r>
      <w:hyperlink w:anchor="bib_5" w:history="1">
        <w:r>
          <w:rPr>
            <w:color w:val="008ADB"/>
            <w:u w:val="single"/>
          </w:rPr>
          <w:t xml:space="preserve">[5]</w:t>
        </w:r>
      </w:hyperlink>
      <w:r>
        <w:t xml:space="preserve">.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w:t>
      </w:r>
      <w:hyperlink w:anchor="bib_6" w:history="1">
        <w:r>
          <w:rPr>
            <w:color w:val="008ADB"/>
            <w:u w:val="single"/>
          </w:rPr>
          <w:t xml:space="preserve">[6]</w:t>
        </w:r>
      </w:hyperlink>
      <w:r>
        <w:t xml:space="preserve">, </w:t>
      </w:r>
      <w:hyperlink w:anchor="bib_7" w:history="1">
        <w:r>
          <w:rPr>
            <w:color w:val="008ADB"/>
            <w:u w:val="single"/>
          </w:rPr>
          <w:t xml:space="preserve">[7]</w:t>
        </w:r>
      </w:hyperlink>
      <w:r>
        <w:t xml:space="preserve">.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 xml:space="preserve">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w:t>
      </w:r>
      <w:hyperlink w:anchor="bib_8" w:history="1">
        <w:r>
          <w:rPr>
            <w:color w:val="008ADB"/>
            <w:u w:val="single"/>
          </w:rPr>
          <w:t xml:space="preserve">[8]</w:t>
        </w:r>
      </w:hyperlink>
      <w:r>
        <w:t xml:space="preserve">–</w:t>
      </w:r>
      <w:hyperlink w:anchor="bib_13" w:history="1">
        <w:r>
          <w:rPr>
            <w:color w:val="008ADB"/>
            <w:u w:val="single"/>
          </w:rPr>
          <w:t xml:space="preserve">[13]</w:t>
        </w:r>
      </w:hyperlink>
      <w:r>
        <w:t xml:space="preserve">. Virtual reality systems, motion-capture games, and screen-based exercises further expand training scenarios by adding visual feedback, scoring, and game-like progression </w:t>
      </w:r>
      <w:hyperlink w:anchor="bib_14" w:history="1">
        <w:r>
          <w:rPr>
            <w:color w:val="008ADB"/>
            <w:u w:val="single"/>
          </w:rPr>
          <w:t xml:space="preserve">[14]</w:t>
        </w:r>
      </w:hyperlink>
      <w:r>
        <w:t xml:space="preserve">–</w:t>
      </w:r>
      <w:hyperlink w:anchor="bib_16" w:history="1">
        <w:r>
          <w:rPr>
            <w:color w:val="008ADB"/>
            <w:u w:val="single"/>
          </w:rPr>
          <w:t xml:space="preserve">[16]</w:t>
        </w:r>
      </w:hyperlink>
      <w:r>
        <w:t xml:space="preserve">. Together, these approaches address a wide range of rehabilitation needs, from personalized clinical guidance to intensive repetition, objective assessment, and task variety.</w:t>
      </w:r>
    </w:p>
    <w:p>
      <w:pPr>
        <w:ind w:firstLine="400"/>
        <w:jc w:val="both"/>
      </w:pPr>
      <w:r>
        <w:t xml:space="preserve">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w:t>
      </w:r>
      <w:hyperlink w:anchor="bib_17" w:history="1">
        <w:r>
          <w:rPr>
            <w:color w:val="008ADB"/>
            <w:u w:val="single"/>
          </w:rPr>
          <w:t xml:space="preserve">[17]</w:t>
        </w:r>
      </w:hyperlink>
      <w:r>
        <w:t xml:space="preserve">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This design keeps direct physical interaction while reducing the equipment worn by the user and enabling programmable, adaptive training.</w:t>
      </w:r>
    </w:p>
    <w:p>
      <w:pPr>
        <w:ind w:firstLine="400"/>
        <w:jc w:val="both"/>
      </w:pPr>
      <w:r>
        <w:t xml:space="preserve">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Achieving this requires continuous adjustment to changes in hand speed, movement direction, reaction delay, and pursuit strategy. Fixed paths and preset speeds cannot handle such variation </w:t>
      </w:r>
      <w:hyperlink w:anchor="bib_23" w:history="1">
        <w:r>
          <w:rPr>
            <w:color w:val="008ADB"/>
            <w:u w:val="single"/>
          </w:rPr>
          <w:t xml:space="preserve">[23]</w:t>
        </w:r>
      </w:hyperlink>
      <w:r>
        <w:t xml:space="preserve">–</w:t>
      </w:r>
      <w:hyperlink w:anchor="bib_25" w:history="1">
        <w:r>
          <w:rPr>
            <w:color w:val="008ADB"/>
            <w:u w:val="single"/>
          </w:rPr>
          <w:t xml:space="preserve">[25]</w:t>
        </w:r>
      </w:hyperlink>
      <w:r>
        <w:t xml:space="preserve">.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w:t>
      </w:r>
      <w:hyperlink w:anchor="bib_26" w:history="1">
        <w:r>
          <w:rPr>
            <w:color w:val="008ADB"/>
            <w:u w:val="single"/>
          </w:rPr>
          <w:t xml:space="preserve">[26]</w:t>
        </w:r>
      </w:hyperlink>
      <w:r>
        <w:t xml:space="preserve">. RL has proven effective in robotic manipulation, locomotion, human-robot interaction, and adaptive rehabilitation control </w:t>
      </w:r>
      <w:hyperlink w:anchor="bib_27" w:history="1">
        <w:r>
          <w:rPr>
            <w:color w:val="008ADB"/>
            <w:u w:val="single"/>
          </w:rPr>
          <w:t xml:space="preserve">[27]</w:t>
        </w:r>
      </w:hyperlink>
      <w:r>
        <w:t xml:space="preserve">–</w:t>
      </w:r>
      <w:hyperlink w:anchor="bib_32" w:history="1">
        <w:r>
          <w:rPr>
            <w:color w:val="008ADB"/>
            <w:u w:val="single"/>
          </w:rPr>
          <w:t xml:space="preserve">[32]</w:t>
        </w:r>
      </w:hyperlink>
      <w:r>
        <w:t xml:space="preserve">.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motor training of the upper limb. In the terminology of magnetic milli/microrobotics, the interaction target is an unpowered magnetic body actuated over a desktop-scale workspace rather than a self-propelled onboard device. The user interacts with this target on a tabletop workspace, while a robotic arm drives it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an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 xml:space="preserve">The platform separates actuation, interaction, and perception into three physical layers. In the actuation layer, a UR10 robotic arm is placed beneath the workspace, and a permanent magnet is mounted on its end effector to drive the microrobot above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In the interaction layer, an acrylic sheet 5 mm thick supports the unpowered microrobot and forms a physical barrier between the robotic arm and the user. In the perception layer, an overhead red–green–blue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t xml:space="preserve">This layout emphasizes both interaction safety and hardware simplicity. </w:t>
      </w:r>
      <w:hyperlink w:anchor="fig_1" w:history="1">
        <w:r>
          <w:rPr>
            <w:color w:val="008ADB"/>
            <w:u w:val="single"/>
          </w:rPr>
          <w:t xml:space="preserve">Fig. 1</w:t>
        </w:r>
      </w:hyperlink>
      <w:r>
        <w:t xml:space="preserve">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 xml:space="preserve">The ZPD is defined operationally as a target range for the distance between the hand and microrobot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The ZPD label denotes an operational control analogy for maintaining the task between trivial pursuit and unreachable escape, rather than a psychometric estimate of learning potential.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t xml:space="preserve">Classical artificial potential field and rule-based reactive controllers provide intuitive solutions for regulating the motion of a target relative to a pursuer </w:t>
      </w:r>
      <w:hyperlink w:anchor="bib_33" w:history="1">
        <w:r>
          <w:rPr>
            <w:color w:val="008ADB"/>
            <w:u w:val="single"/>
          </w:rPr>
          <w:t xml:space="preserve">[33]</w:t>
        </w:r>
      </w:hyperlink>
      <w:r>
        <w:t xml:space="preserve">, </w:t>
      </w:r>
      <w:hyperlink w:anchor="bib_34" w:history="1">
        <w:r>
          <w:rPr>
            <w:color w:val="008ADB"/>
            <w:u w:val="single"/>
          </w:rPr>
          <w:t xml:space="preserve">[34]</w:t>
        </w:r>
      </w:hyperlink>
      <w:r>
        <w:t xml:space="preserve">.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 xml:space="preserve">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proximal policy optimization (PPO) </w:t>
      </w:r>
      <w:hyperlink w:anchor="bib_28" w:history="1">
        <w:r>
          <w:rPr>
            <w:color w:val="008ADB"/>
            <w:u w:val="single"/>
          </w:rPr>
          <w:t xml:space="preserve">[28]</w:t>
        </w:r>
      </w:hyperlink>
      <w:r>
        <w:t xml:space="preserve"> is summarized as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 xml:space="preserve">Equation </w:t>
      </w:r>
      <w:hyperlink w:anchor="eq_1" w:history="1">
        <w:r>
          <w:rPr>
            <w:color w:val="008ADB"/>
            <w:u w:val="single"/>
          </w:rPr>
          <w:t xml:space="preserve">(1)</w:t>
        </w:r>
      </w:hyperlink>
      <w:r>
        <w:t xml:space="preserve">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 The simulation-environment settings and implemented reward functions and coefficients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 xml:space="preserve">The ZPD reward provides the main control signal, but it supervises the encoder only indirectly through policy optimization. An auxiliary dynamics head adds a denser learning signal for motion representation </w:t>
      </w:r>
      <w:hyperlink w:anchor="bib_41" w:history="1">
        <w:r>
          <w:rPr>
            <w:color w:val="008ADB"/>
            <w:u w:val="single"/>
          </w:rPr>
          <w:t xml:space="preserve">[41]</w:t>
        </w:r>
      </w:hyperlink>
      <w:r>
        <w:t xml:space="preserve">, </w:t>
      </w:r>
      <w:hyperlink w:anchor="bib_42" w:history="1">
        <w:r>
          <w:rPr>
            <w:color w:val="008ADB"/>
            <w:u w:val="single"/>
          </w:rPr>
          <w:t xml:space="preserve">[42]</w:t>
        </w:r>
      </w:hyperlink>
      <w:r>
        <w:t xml:space="preserve">. The head predicts relative hand displacement over a horizon of eight steps. Future displacements are available from the rollout, so this self-supervised auxiliary task requires no additional annotation </w:t>
      </w:r>
      <w:hyperlink w:anchor="bib_43" w:history="1">
        <w:r>
          <w:rPr>
            <w:color w:val="008ADB"/>
            <w:u w:val="single"/>
          </w:rPr>
          <w:t xml:space="preserve">[43]</w:t>
        </w:r>
      </w:hyperlink>
      <w:r>
        <w:t xml:space="preserve">.</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 xml:space="preserve">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 </w:t>
      </w:r>
      <w:hyperlink w:anchor="bib_44" w:history="1">
        <w:r>
          <w:rPr>
            <w:color w:val="008ADB"/>
            <w:u w:val="single"/>
          </w:rPr>
          <w:t xml:space="preserve">[44]</w:t>
        </w:r>
      </w:hyperlink>
      <w:r>
        <w:t xml:space="preserve">.</w:t>
      </w:r>
    </w:p>
    <w:p w14:paraId="323FBF4C" w14:textId="77777777" w:rsidR="003F4541" w:rsidRDefault="00593922">
      <w:pPr>
        <w:ind w:firstLine="288"/>
        <w:jc w:val="both"/>
      </w:pPr>
      <w:r>
        <w:t xml:space="preserve">The training schedule separates the two sides of learning and retains older hand behaviors in a shared pool </w:t>
      </w:r>
      <w:hyperlink w:anchor="bib_45" w:history="1">
        <w:r>
          <w:rPr>
            <w:color w:val="008ADB"/>
            <w:u w:val="single"/>
          </w:rPr>
          <w:t xml:space="preserve">[45]</w:t>
        </w:r>
      </w:hyperlink>
      <w:r>
        <w:t xml:space="preserve">, </w:t>
      </w:r>
      <w:hyperlink w:anchor="bib_46" w:history="1">
        <w:r>
          <w:rPr>
            <w:color w:val="008ADB"/>
            <w:u w:val="single"/>
          </w:rPr>
          <w:t xml:space="preserve">[46]</w:t>
        </w:r>
      </w:hyperlink>
      <w:r>
        <w:t xml:space="preserve">.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 The experiments used N = 10 league iterations, leaving a final pool with the SPC and ten learned hand policies. At this scale, policy storage and PFSP sampling were not computational bottlenecks because each rollout samples one hand policy. Larger leagues could prune or down-weight redundant policies using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 xml:space="preserve">Uniform sampling from the pool of learned hands is inefficient because different hands challenge the current robot to different degrees </w:t>
      </w:r>
      <w:hyperlink w:anchor="bib_47" w:history="1">
        <w:r>
          <w:rPr>
            <w:color w:val="008ADB"/>
            <w:u w:val="single"/>
          </w:rPr>
          <w:t xml:space="preserve">[47]</w:t>
        </w:r>
      </w:hyperlink>
      <w:r>
        <w:t xml:space="preserve">.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 xml:space="preserve">Here, m is the number of learned hand policies, ε_l is a small stabilizing constant, and μ controls the uniform exploration mass. The SPC remains in the pool with a fixed sampling probability, while the probability assigned to learned hands follows </w:t>
      </w:r>
      <w:hyperlink w:anchor="eq_10" w:history="1">
        <w:r>
          <w:rPr>
            <w:color w:val="008ADB"/>
            <w:u w:val="single"/>
          </w:rPr>
          <w:t xml:space="preserve">(10)</w:t>
        </w:r>
      </w:hyperlink>
      <w:r>
        <w:t xml:space="preserve">. This keeps the scripted pursuit behavior available and concentrates the remaining episodes of robot training on learned hands that still expose weaknesses in the current robot policy. The reinforcement-learning training hyperparameters, auxiliary-objective settings, and league-sampling constants are reported in the Supplementary Material.</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physical rollout in Section IV.D used the same target ZPD band for zero-shot consistency, not to suggest that this operating setting is clinically optimal for every user. Evaluation and deployment protocol details are provided in the Supplementary Material.</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 xml:space="preserve">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w:t>
      </w:r>
      <w:hyperlink w:anchor="fig_3" w:history="1">
        <w:r>
          <w:rPr>
            <w:color w:val="008ADB"/>
            <w:u w:val="single"/>
          </w:rPr>
          <w:t xml:space="preserve">Fig. 3</w:t>
        </w:r>
      </w:hyperlink>
      <w:r>
        <w:t xml:space="preserve">(a),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w:t>
      </w:r>
      <w:hyperlink w:anchor="fig_3" w:history="1">
        <w:r>
          <w:rPr>
            <w:color w:val="008ADB"/>
            <w:u w:val="single"/>
          </w:rPr>
          <w:t xml:space="preserve">Fig. 3</w:t>
        </w:r>
      </w:hyperlink>
      <w:r>
        <w:t xml:space="preserve">(b)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bookmarkStart w:id="15" w:name="fig_3"/>
      <w:bookmarkEnd w:id="15"/>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hyperlink w:anchor="tab_II" w:history="1">
        <w:r>
          <w:rPr>
            <w:color w:val="008ADB"/>
            <w:u w:val="single"/>
          </w:rPr>
          <w:t xml:space="preserve">Table II</w:t>
        </w:r>
      </w:hyperlink>
      <w:r>
        <w:t xml:space="preserve"> extends the cross-generation analysis in </w:t>
      </w:r>
      <w:hyperlink w:anchor="fig_3" w:history="1">
        <w:r>
          <w:rPr>
            <w:color w:val="008ADB"/>
            <w:u w:val="single"/>
          </w:rPr>
          <w:t xml:space="preserve">Fig. 3</w:t>
        </w:r>
      </w:hyperlink>
      <w:r>
        <w:t xml:space="preserve">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used human operators who pursued the simulated microrobot through the mouse interface, with the resulting pursuit commands passed through the same motor-execution layer used for virtual hands. This condition introduces human reaction time and voluntary pursuit behavior under bounded execution dynamics.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 xml:space="preserve">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w:t>
      </w:r>
      <w:hyperlink w:anchor="fig_4" w:history="1">
        <w:r>
          <w:rPr>
            <w:color w:val="008ADB"/>
            <w:u w:val="single"/>
          </w:rPr>
          <w:t xml:space="preserve">Fig. 4</w:t>
        </w:r>
      </w:hyperlink>
      <w:r>
        <w:t xml:space="preserve">(a) and </w:t>
      </w:r>
      <w:hyperlink w:anchor="fig_4" w:history="1">
        <w:r>
          <w:rPr>
            <w:color w:val="008ADB"/>
            <w:u w:val="single"/>
          </w:rPr>
          <w:t xml:space="preserve">Fig. 4</w:t>
        </w:r>
      </w:hyperlink>
      <w:r>
        <w:t xml:space="preserve">(b)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 xml:space="preserve">The auxiliary prediction examples in </w:t>
      </w:r>
      <w:hyperlink w:anchor="fig_4" w:history="1">
        <w:r>
          <w:rPr>
            <w:color w:val="008ADB"/>
            <w:u w:val="single"/>
          </w:rPr>
          <w:t xml:space="preserve">Fig. 4</w:t>
        </w:r>
      </w:hyperlink>
      <w:r>
        <w:t xml:space="preserve">(c) provide a qualitative check on this representation. The predicted displacement over the short horizon generally follows the direction and curvature of the observed future hand motion rather than only reconstructing the current position. The final normalized metrics in </w:t>
      </w:r>
      <w:hyperlink w:anchor="fig_4" w:history="1">
        <w:r>
          <w:rPr>
            <w:color w:val="008ADB"/>
            <w:u w:val="single"/>
          </w:rPr>
          <w:t xml:space="preserve">Fig. 4</w:t>
        </w:r>
      </w:hyperlink>
      <w:r>
        <w:t xml:space="preserve">(d)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pilot deployment, human pursuit input was tracked across the acrylic workspace while the robotic arm moved the magnetic actuator beneath the surface. Physical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 xml:space="preserve">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w:t>
      </w:r>
      <w:hyperlink w:anchor="eq_6" w:history="1">
        <w:r>
          <w:rPr>
            <w:color w:val="008ADB"/>
            <w:u w:val="single"/>
          </w:rPr>
          <w:t xml:space="preserve">(6)</w:t>
        </w:r>
      </w:hyperlink>
      <w:r>
        <w:t xml:space="preserve"> and </w:t>
      </w:r>
      <w:hyperlink w:anchor="eq_7" w:history="1">
        <w:r>
          <w:rPr>
            <w:color w:val="008ADB"/>
            <w:u w:val="single"/>
          </w:rPr>
          <w:t xml:space="preserve">(7)</w:t>
        </w:r>
      </w:hyperlink>
      <w:r>
        <w:t xml:space="preserve">. Robot state measurements were used only for command execution and system monitoring and were not included in the policy observation. The perception pipeline combined YOLOv12-based microrobot detection </w:t>
      </w:r>
      <w:hyperlink w:anchor="bib_48" w:history="1">
        <w:r>
          <w:rPr>
            <w:color w:val="008ADB"/>
            <w:u w:val="single"/>
          </w:rPr>
          <w:t xml:space="preserve">[48]</w:t>
        </w:r>
      </w:hyperlink>
      <w:r>
        <w:t xml:space="preserve">, </w:t>
      </w:r>
      <w:hyperlink w:anchor="bib_49" w:history="1">
        <w:r>
          <w:rPr>
            <w:color w:val="008ADB"/>
            <w:u w:val="single"/>
          </w:rPr>
          <w:t xml:space="preserve">[49]</w:t>
        </w:r>
      </w:hyperlink>
      <w:r>
        <w:t xml:space="preserve">, MediaPipe Hands tracking </w:t>
      </w:r>
      <w:hyperlink w:anchor="bib_50" w:history="1">
        <w:r>
          <w:rPr>
            <w:color w:val="008ADB"/>
            <w:u w:val="single"/>
          </w:rPr>
          <w:t xml:space="preserve">[50]</w:t>
        </w:r>
      </w:hyperlink>
      <w:r>
        <w:t xml:space="preserve">, camera calibration, and a planar homography that mapped image coordinates to the workspace </w:t>
      </w:r>
      <w:hyperlink w:anchor="bib_51" w:history="1">
        <w:r>
          <w:rPr>
            <w:color w:val="008ADB"/>
            <w:u w:val="single"/>
          </w:rPr>
          <w:t xml:space="preserve">[51]</w:t>
        </w:r>
      </w:hyperlink>
      <w:r>
        <w:t xml:space="preserv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hyperlink w:anchor="fig_5" w:history="1">
        <w:r>
          <w:rPr>
            <w:color w:val="008ADB"/>
            <w:u w:val="single"/>
          </w:rPr>
          <w:t xml:space="preserve">Fig. 5</w:t>
        </w:r>
      </w:hyperlink>
      <w:r>
        <w:t xml:space="preserve">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 xml:space="preserve">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w:t>
      </w:r>
      <w:hyperlink w:anchor="bib_52" w:history="1">
        <w:r>
          <w:rPr>
            <w:color w:val="008ADB"/>
            <w:u w:val="single"/>
          </w:rPr>
          <w:t xml:space="preserve">[52]</w:t>
        </w:r>
      </w:hyperlink>
      <w:r>
        <w:t xml:space="preserve">.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 </w:t>
      </w:r>
      <w:hyperlink w:anchor="bib_40" w:history="1">
        <w:r>
          <w:rPr>
            <w:color w:val="008ADB"/>
            <w:u w:val="single"/>
          </w:rPr>
          <w:t xml:space="preserve">[40]</w:t>
        </w:r>
      </w:hyperlink>
      <w:r>
        <w:t xml:space="preserve">–</w:t>
      </w:r>
      <w:hyperlink w:anchor="bib_43" w:history="1">
        <w:r>
          <w:rPr>
            <w:color w:val="008ADB"/>
            <w:u w:val="single"/>
          </w:rPr>
          <w:t xml:space="preserve">[43]</w:t>
        </w:r>
      </w:hyperlink>
      <w:r>
        <w:t xml:space="preserve">.</w:t>
      </w:r>
    </w:p>
    <w:p>
      <w:pPr>
        <w:ind w:firstLine="400"/>
        <w:jc w:val="both"/>
      </w:pPr>
      <w:r>
        <w:t xml:space="preserve">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 </w:t>
      </w:r>
      <w:hyperlink w:anchor="bib_44" w:history="1">
        <w:r>
          <w:rPr>
            <w:color w:val="008ADB"/>
            <w:u w:val="single"/>
          </w:rPr>
          <w:t xml:space="preserve">[44]</w:t>
        </w:r>
      </w:hyperlink>
      <w:r>
        <w:t xml:space="preserve">–</w:t>
      </w:r>
      <w:hyperlink w:anchor="bib_47" w:history="1">
        <w:r>
          <w:rPr>
            <w:color w:val="008ADB"/>
            <w:u w:val="single"/>
          </w:rPr>
          <w:t xml:space="preserve">[47]</w:t>
        </w:r>
      </w:hyperlink>
      <w:r>
        <w:t xml:space="preserve">.</w:t>
      </w:r>
    </w:p>
    <w:p>
      <w:pPr>
        <w:ind w:firstLine="400"/>
        <w:jc w:val="both"/>
      </w:pPr>
      <w:r>
        <w:t xml:space="preserve">Moving the policy from simulation onto the UR10 platform brought in measurement noise, brief losses of tracking, communication delay, actuator dynamics, calibration error, and uncertainty in the magnetic drive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 xml:space="preserve">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Future versions could estimate motor-execution distributions from recorded trajectories and incorporate impairment-relevant features such as asymmetric movement range, tremor, intermittent control, fatigue-related slowing, and variable visuomotor delay. The target ZPD band was also chosen for the current desktop platform and kept the same across simulation and deployment for consistency. A clinically meaningful band would require session-level personalization according to impairment severity, reachable workspace, movement speed, response delay, fatigue, and therapeutic goal. Clinician input could set the initial safe range, while online adaptation could adjust the band using recent Time in Zone, catch frequency, boundary events, recovery after speed changes, and fatigue-related slowing.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remains preliminary and should not be interpreted as evidence of clinical efficacy. Manual mouse pursuit brought in voluntary human decisions and reaction time, but it did not reproduce impaired hand biomechanics or the full uncertainty that comes with tracking a hand visually. Future comparisons should include fixed-speed, pure distance-feedback, and artificial-potential-field baselines under matched tasks to separate the benefit of learned temporal regulation from simpler reactive control. Claims about engagement, motor learning, functional recovery, and clinical benefit therefore remain outside the scope of the current results </w:t>
      </w:r>
      <w:hyperlink w:anchor="bib_2" w:history="1">
        <w:r>
          <w:rPr>
            <w:color w:val="008ADB"/>
            <w:u w:val="single"/>
          </w:rPr>
          <w:t xml:space="preserve">[2]</w:t>
        </w:r>
      </w:hyperlink>
      <w:r>
        <w:t xml:space="preserve">, </w:t>
      </w:r>
      <w:hyperlink w:anchor="bib_7" w:history="1">
        <w:r>
          <w:rPr>
            <w:color w:val="008ADB"/>
            <w:u w:val="single"/>
          </w:rPr>
          <w:t xml:space="preserve">[7]</w:t>
        </w:r>
      </w:hyperlink>
      <w:r>
        <w:t xml:space="preserve">, </w:t>
      </w:r>
      <w:hyperlink w:anchor="bib_11" w:history="1">
        <w:r>
          <w:rPr>
            <w:color w:val="008ADB"/>
            <w:u w:val="single"/>
          </w:rPr>
          <w:t xml:space="preserve">[11]</w:t>
        </w:r>
      </w:hyperlink>
      <w:r>
        <w:t xml:space="preserve">, </w:t>
      </w:r>
      <w:hyperlink w:anchor="bib_15" w:history="1">
        <w:r>
          <w:rPr>
            <w:color w:val="008ADB"/>
            <w:u w:val="single"/>
          </w:rPr>
          <w:t xml:space="preserve">[15]</w:t>
        </w:r>
      </w:hyperlink>
      <w:r>
        <w:t xml:space="preserve">, </w:t>
      </w:r>
      <w:hyperlink w:anchor="bib_16" w:history="1">
        <w:r>
          <w:rPr>
            <w:color w:val="008ADB"/>
            <w:u w:val="single"/>
          </w:rPr>
          <w:t xml:space="preserve">[16]</w:t>
        </w:r>
      </w:hyperlink>
      <w:r>
        <w:t xml:space="preserve">.</w:t>
      </w:r>
    </w:p>
    <w:p>
      <w:pPr>
        <w:ind w:firstLine="400"/>
        <w:jc w:val="both"/>
      </w:pPr>
      <w:r>
        <w:t>The next step is to test the controller under broader and more controlled physical conditions. Broader repeated-session studies should compare policies that move at a fixed speed, that react to distance alone, that follow artificial-potential-field rules, that are trained against a single opponent, and that are trained through the league, all under matched tasks.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bookmarkStart w:id="67" w:name="bib_49"/>
      <w:bookmarkEnd w:id="67"/>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bookmarkStart w:id="68" w:name="bib_50"/>
      <w:bookmarkEnd w:id="68"/>
      <w:r>
        <w:rPr>
          <w:rFonts w:ascii="Times New Roman" w:hAnsi="Times New Roman"/>
          <w:sz w:val="16"/>
        </w:rPr>
        <w:t>[50] F. Zhang et al., “MediaPipe Hands: On-device real-time hand tracking,” arXiv:2006.10214, 2020.</w:t>
      </w:r>
    </w:p>
    <w:p>
      <w:pPr>
        <w:spacing w:before="0" w:after="0" w:line="240" w:lineRule="auto"/>
        <w:ind w:left="360" w:hanging="360"/>
        <w:jc w:val="both"/>
      </w:pPr>
      <w:bookmarkStart w:id="69" w:name="bib_51"/>
      <w:bookmarkEnd w:id="69"/>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bookmarkStart w:id="70" w:name="bib_52"/>
      <w:bookmarkEnd w:id="70"/>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