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In the terminology of magnetic milli/microrobotics, the interaction target is an unpowered magnetic body actuated over a desktop-scale workspace rather than a self-propelled onboard device. The user interacts with this target on a tabletop workspace, while a robotic arm drives it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ZPD label denotes an operational control analogy for maintaining the task between trivial pursuit and unreachable escape, rather than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deployment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used human operators who pursued the simulated microrobot through the mouse interface, with the resulting pursuit commands passed through the same motor-execution layer used for virtual hands. This condition introduces human reaction time and voluntary pursuit behavior under bounded execution dynamics.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Future versions could estimate motor-execution distributions from recorded trajectories and incorporate impairment-relevant features such as asymmetric movement range, tremor, intermittent control, fatigue-related slowing, and variable visuomotor delay. The target ZPD band was also chosen for the current desktop platform and kept the same across simulation and deployment for consistency. A clinically meaningful band would require session-level personalization according to impairment severity, reachable workspace, movement speed, response delay, fatigue, and therapeutic goal. Clinician input could set the initial safe range, while online adaptation could adjust the band using recent Time in Zone, catch frequency, boundary events, recovery after speed changes, and fatigue-related slowing.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remains preliminary and should not be interpreted as evidence of clinical efficacy. Manual mouse pursuit brought in voluntary human decisions and reaction time, but it did not reproduce impaired hand biomechanics or the full uncertainty that comes with tracking a hand visually.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Broader repeated-session studies should compare policies under matched tasks and repeated use.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