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UR10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UR10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In simulation, the experiments assess robustness across hand behaviors and isolate the contribution of temporal hand-motion encoding. On the physical platform, the deployment test examines whether the learned policy can run online through the perception and control stack, and whether the resulting microrobot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possible sources of performance gain. The league analysis examines whether expanding the hand-policy pool improves robustness across pursuit behaviors. The ablation analysis examines whether temporal hand-motion encoding and the auxiliary dynamics objective improve the robot policy representation. Both analyses use the simulation environment from Section II: the robot controls the microrobot, and hand motion is generated by the behavior models from Section III.</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physical deployment in Section IV.D uses the same band to preserve zero-shot consistency between simulation and hardware. This choice does not represent a clinically optimal setting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includes three robot policies. The SPC-only baseline is trained against the SPC alone. The single-opponent baseline is trained against one learned hand policy. The league policy is trained through iterative expansion of the hand pool. These policies are evaluated across learned hand generations in Fig. 3 and under three representative pursuit conditions in Table II. The representation comparison keeps the training setting fixed and changes only the policy encoder. The MLP baseline uses instantaneous geometry. The GRU policy adds recent relative hand displacement, and the auxiliary GRU policy further adds the future-dynamics prediction objective.</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rPr>
          <w:color w:val="008ADB"/>
          <w:u w:val="single"/>
        </w:rPr>
        <w:t>The league evaluation tests whether expanding the hand-policy pool improves robustness across pursuit behaviors, rather than only improving performance against the most recent hand policy. After each robot generation is trained, it is evaluated against all learned hand generations in the pool. This evaluation separates cross-policy robustness from progress against a single training opponent. In Fig. 3(a), each row corresponds to one robot generation and each column to one learned hand generation. Early robot generations perform well only against limited parts of the hand pool. Later generations maintain higher TIZ across a broader set of learned hands, indicating reduced specialization. Fig. 3(b) summarizes the same matrix using the mean TIZ and the lowest TIZ across tested hands. The mean curve reflects typical performance, while the lower curve tracks the most difficult learned hand for each robot generation. Both curves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complements Fig. 3 with a controlled comparison across representative pursuit conditions. The comparison includes the reactive APF baseline, the SPC-only baseline, the single-opponent baseline, and the final league policy. These policies are evaluated under scripted pursuit, learned-hand pursuit, and manual mouse pursuit. The learned-hand condition uses H1, which is the hand policy obtained after the first hand-training phase of the league procedure. The same H1 checkpoint is used for all learned robot policies, and it also serves as the sole training opponent for the single-opponent baseline. For the automated SPC and H1 conditions, results are reported as the mean ± sample standard deviation over 20 independently seeded evaluation trials, with 1000 episodes per trial. The APF baseline was evaluated only in simulation, so its manual-mouse entry is left blank. In the manual mouse condition, human operators pursued the simulated microrobot through the mouse interface. The resulting pursuit commands passed through the same motor-execution layer used for virtual hands. This condition introduces human reaction time and voluntary pursuit behavior under bounded execution dynamics, so it is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reactive APF controller serves as a non-learning geometric reference and performs poorly under direct scripted pursuit. The SPC-only baseline improves performance under scripted pursuit but remains weak against H1. In contrast, the single-opponent baseline performs best against its H1 training opponent but transfers poorly to SPC pursuit. The league policy avoids this narrow specialization. It achieves the strongest automated SPC result and remains competitive against H1, although it does not exceed the single-opponent baseline on the matched H1 condition.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rPr>
          <w:color w:val="008ADB"/>
          <w:u w:val="single"/>
        </w:rPr>
        <w:t>The league results address the diversity of hand behaviors used during training. The network ablation then tests whether the robot policy can use temporal information about hand motion under this training setting. The MLP baseline uses only the instantaneous geometric state. The GRU policy adds a 16-frame history of relative displacement, and the auxiliary GRU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rPr>
          <w:color w:val="008ADB"/>
          <w:u w:val="single"/>
        </w:rPr>
        <w:t>The auxiliary prediction examples in Fig. 4(c) provide a qualitative check of the learned motion representation. The predicted short-horizon displacement generally follows the direction and curvature of the observed future hand motion, rather than merely reconstructing the current position. The normalized final metrics in Fig. 4(d) show how these representation changes affect control performance. Recurrent history increases TIZ and workspace coverage relative to the MLP baseline. The auxiliary prediction objective further improves these metrics and reduces mean jerk. Overall,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rPr>
          <w:color w:val="008ADB"/>
          <w:u w:val="single"/>
        </w:rP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[48], MediaPipe Hands tracking [49], camera calibration, and a planar homography that mapped image coordinates to the workspace [50].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This role is consistent with the ablation results. TIZ increased from 0.161 for the MLP baseline to 0.197 with the GRU and to 0.259 when auxiliary dynamics prediction was added. Workspace coverage followed the same trend, and mean jerk decreased [51]. The auxiliary objective appears to strengthen the temporal representation by encouraging the shared encoder to retain information useful for short-horizon hand-motion prediction. Prediction itself is not the control objective. Instead, it provides an additional training signal for learning motion features that support difficulty regulation. Policy performance remains the main criterion, because accurate motion prediction alone does not guarantee effective regulation of task difficulty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Performance across generations was not strictly monotonic, reflecting shifts in the training distribution as robot and hand optimization alternated. Even with these fluctuations, mean TIZ across learned hands increased from 0.188 for the first robot generation to 0.282 for the final generation. The lowest score across learned hands also increased from 0.138 to 0.204. Comparisons across individual conditions show the same pattern. A robot trained against a single learned hand performed well against the matched opponent but degraded under scripted pursuit. In contrast, the league-trained policy remained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UR10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UR10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UR10-based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minimum TIZ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ZPD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