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[47],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The APF controller was evaluated only in simulation. Manual pursuit passed mouse commands through the same motor-execution layer as the virtual hands and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reactive APF controller produced a TIZ of 0.089 ± 0.001 under SPC pursuit. Training only against the SPC increased TIZ to 0.295 ± 0.008 in the matched condition but yielded 0.146 ± 0.006 against H1. The single-opponent baseline showed the opposite pattern, reaching 0.398 ± 0.007 against its H1 training opponent but only 0.107 ± 0.003 under SPC pursuit. The league policy maintained TIZ values of 0.349 ± 0.010 under SPC and 0.358 ± 0.012 against H1. It also reached 0.49 ± 0.09 TIZ and 74 ± 13 steps during manual pursuit. The league policy therefore did not maximize the matched H1 result, but it provided the most balanced performance across scripted, learned, and human-controlled pursuit.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[51].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[48], MediaPipe Hands tracking [49], camera calibration, and a planar homography from image coordinates to the workspace [50].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[44]–[47].</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F. Zhang et al., “MediaPipe Hands: On-device real-time hand tracking,” arXiv:2006.10214, 2020.</w:t>
      </w:r>
    </w:p>
    <w:p>
      <w:pPr>
        <w:spacing w:before="0" w:after="0" w:line="240" w:lineRule="auto"/>
        <w:ind w:left="360" w:hanging="360"/>
        <w:jc w:val="both"/>
      </w:pPr>
      <w:r>
        <w:rPr>
          <w:rFonts w:ascii="Times New Roman" w:hAnsi="Times New Roman"/>
          <w:sz w:val="16"/>
        </w:rPr>
        <w:t>[50]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[51]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