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035040" cy="2807392"/>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035040" cy="2807392"/>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7A4D2C91" w14:textId="4E8B63F2" w:rsidR="003F4541" w:rsidRDefault="00593922">
      <w:pPr>
        <w:ind w:firstLine="288"/>
        <w:jc w:val="both"/>
      </w:pPr>
      <w:r>
        <w:rPr>
          <w:color w:val="008ADB"/>
          <w:u w:val="single"/>
        </w:rPr>
        <w:t>Asynchronous multi-stage RL has similarly reduced policy nonstationarity in pursuit–evasion by alternating optimization between frozen pursuer and evader policies [47]. Population-based extensions retain current and historical opponents in a growing pool to reduce forgetting and overfitting to the latest adversary [48]. Our formulation follows this broader principle of staged optimization with policy retention, but uses the opponent pool to maintain the interaction within a target ZPD band rather than to maximize capture or escape. It also retains scripted pursuit in the pool and prioritizes learned hands according to their recent competitiveness against the robot policy.</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prioritized fictitious self-play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[49],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27D4C4EA" w14:textId="77777777" w:rsidR="003F4541" w:rsidRDefault="00593922">
      <w:pPr>
        <w:pStyle w:val="21"/>
      </w:pPr>
      <w:r>
        <w:t>A. Evaluation Protocol</w:t>
      </w:r>
    </w:p>
    <w:p w14:paraId="4A367FE1" w14:textId="77777777" w:rsidR="003F4541" w:rsidRDefault="00593922">
      <w:pPr>
        <w:ind w:firstLine="288"/>
        <w:jc w:val="both"/>
      </w:pPr>
      <w:r>
        <w:t>The evaluation examines robustness across pursuit behaviors, the contribution of temporal hand-motion encoding, and zero-shot operation through the physical perception-control loop. Simulation experiments compare training protocols and encoder designs, whereas physical deployment tests whether the learned policy can regulate microrobot motion coherently from measured hand movement without additional training.</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same band is retained during physical deployment to preserve consistency between simulation and hardware. It represents a platform-specific evaluation setting rather than a clinically optimal threshold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considers an SPC-only baseline, a single-opponent baseline, and the league policy, with the reactive APF controller serving as a nonlearning geometric reference in Table II. The learned policies are evaluated across hand generations in Fig. 3 and under three representative pursuit conditions in Table II. The encoder comparison retains the same training setting and changes only the policy representation. The MLP baseline uses instantaneous geometry, the GRU policy adds recent relative hand displacement, and the auxiliary GRU policy further includes the future-dynamics prediction objective.</w:t>
      </w:r>
    </w:p>
    <w:p w14:paraId="6990CB9F" w14:textId="77777777" w:rsidR="003F4541" w:rsidRDefault="00593922">
      <w:pPr>
        <w:pStyle w:val="21"/>
      </w:pPr>
      <w:r>
        <w:t>B. League Training</w:t>
      </w:r>
    </w:p>
    <w:p w14:paraId="72E08C5E" w14:textId="77777777" w:rsidR="003F4541" w:rsidRDefault="00593922">
      <w:pPr>
        <w:ind w:firstLine="288"/>
        <w:jc w:val="both"/>
      </w:pPr>
      <w:r>
        <w:rPr>
          <w:color w:val="008ADB"/>
          <w:u w:val="single"/>
        </w:rPr>
        <w:t>League training improved both mean performance and the lowest observed performance across learned hand policies. In Fig. 3(a), each row represents one robot generation evaluated against all learned hand generations in the pool. Early robot generations perform well over limited portions of the matrix, whereas later generations maintain higher TIZ across a broader set of learned hands. Fig. 3(b) quantifies this change. Mean TIZ across the tested hands increased from 0.188 for the first robot generation to 0.282 for the final generation, while the lowest TIZ increased from 0.138 to 0.204. The trajectories were not strictly monotonic as the opponent pool evolved, but the gains in both summary measures indicate reduced dependence on any single learned hand policy.</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extends the cross-generation analysis through a controlled comparison of the reactive APF controller, the SPC-only baseline, the single-opponent baseline, and the final league policy under scripted, learned, and manual pursuit. The learned hand condition uses H1, the policy obtained after the first hand-training phase; the same checkpoint is used to evaluate all learned robot policies and serves as the sole training opponent for the single-opponent baseline. Automated SPC and H1 results are reported as the mean ± sample standard deviation over 20 independently seeded trials of 1000 episodes each. The APF controller was evaluated only in simulation. Manual pursuit passed mouse commands through the same motor-execution layer as the virtual hands and is treated as a human-in-the-loop stress test rather than clinical validation. Higher TIZ and longer episodes denote more sustained difficulty regulation.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comparison separates specialization from robustness. The SPC-only and single-opponent baselines each degraded outside their training condition, reaching TIZ values of 0.146 against H1 and 0.107 under SPC, respectively. By contrast, the league policy maintained similar performance under SPC and H1, with TIZ values of 0.349 and 0.358. Although the single-opponent baseline remained strongest in its matched H1 condition, the league policy provided the most consistent performance across scripted, learned, and manual pursuit.</w:t>
      </w:r>
    </w:p>
    <w:p w14:paraId="51CB0EA3" w14:textId="77777777" w:rsidR="003F4541" w:rsidRDefault="00593922">
      <w:pPr>
        <w:pStyle w:val="21"/>
      </w:pPr>
      <w:r>
        <w:t>C. Network Ablation</w:t>
      </w:r>
    </w:p>
    <w:p w14:paraId="75FD72B5" w14:textId="77777777" w:rsidR="003F4541" w:rsidRDefault="00593922">
      <w:pPr>
        <w:ind w:firstLine="288"/>
        <w:jc w:val="both"/>
      </w:pPr>
      <w:r>
        <w:rPr>
          <w:color w:val="008ADB"/>
          <w:u w:val="single"/>
        </w:rPr>
        <w:t>Temporal encoding and auxiliary dynamics prediction progressively improved learning under the fixed training protocol. The MLP baseline uses only the instantaneous geometric state, the GRU policy adds a 16-frame history of relative displacement, and the auxiliary GRU includes the dynamics prediction head described in Section III.B. In Fig. 4(a), both recurrent policies reach higher episode rewards than the MLP baseline, with the auxiliary GRU showing the strongest late-stage performance. The episode-length curves in Fig. 4(b) follow the same overall ordering. These results show that recent relative motion supports more persistent interaction and that the auxiliary objective provides an additional benefit during policy training.</w:t>
      </w:r>
    </w:p>
    <w:p w14:paraId="17266E63" w14:textId="77777777" w:rsidR="003F4541" w:rsidRDefault="00593922">
      <w:pPr>
        <w:ind w:firstLine="288"/>
        <w:jc w:val="both"/>
      </w:pPr>
      <w:r>
        <w:rPr>
          <w:color w:val="008ADB"/>
          <w:u w:val="single"/>
        </w:rPr>
        <w:t>The auxiliary predictions in Fig. 4(c) provide a qualitative check of the learned temporal representation. The predicted short-horizon displacement follows the direction and curvature of the observed future hand motion rather than merely reconstructing the current position. Fig. 4(d) quantifies the corresponding changes in final control performance. TIZ increased from 0.161 with the MLP baseline to 0.197 with the GRU and to 0.259 with the auxiliary GRU. Workspace coverage followed the same ordering, while mean jerk decreased with the auxiliary objective [53]. The control metrics provide the primary evidence for the auxiliary head, and the prediction examples remain a representation-level consistency check.</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Physical Deployment</w:t>
      </w:r>
    </w:p>
    <w:p w14:paraId="35833B21" w14:textId="77777777" w:rsidR="003F4541" w:rsidRDefault="00593922">
      <w:pPr>
        <w:ind w:firstLine="288"/>
        <w:jc w:val="both"/>
      </w:pPr>
      <w:r>
        <w:t>The simulation-trained policy operated through the physical perception-control loop without additional training. During pilot deployment, human pursuit was tracked across the acrylic workspace while the robotic arm moved the magnetic actuator beneath the surface. Camera observations and robot commands were processed online throughout the recorded rollouts, allowing the fixed policy to regulate microrobot motion under continuous feedback.</w:t>
      </w:r>
    </w:p>
    <w:p w14:paraId="068042A0" w14:textId="77777777" w:rsidR="003F4541" w:rsidRDefault="00593922">
      <w:pPr>
        <w:ind w:firstLine="288"/>
        <w:jc w:val="both"/>
      </w:pPr>
      <w:r>
        <w:rPr>
          <w:color w:val="008ADB"/>
          <w:u w:val="single"/>
        </w:rPr>
        <w:t>The deployment retained the observation structure used in simulation. Calibrated camera measurements provided the hand and microrobot positions, while workspace-boundary features, the previous robot command, and the recent history of relative hand displacement completed the policy input in (6) and (7). Robot state measurements supported command execution and system monitoring but were excluded from the policy observation. The perception pipeline combined YOLO-based microrobot detection [50], MediaPipe Hands tracking [51], camera calibration, and a planar homography from image coordinates to the workspace [52]. Brief interruptions in hand tracking were bridged by extrapolating motion from the latest velocity estimate. Workspace limits, bounded command increments, automatic stopping after capture, controlled shutdown behavior, and a hardware emergency stop constrained physical operation.</w:t>
      </w:r>
    </w:p>
    <w:p w14:paraId="01889B3E" w14:textId="77777777" w:rsidR="003F4541" w:rsidRDefault="00593922">
      <w:pPr>
        <w:ind w:firstLine="288"/>
        <w:jc w:val="both"/>
      </w:pPr>
      <w:hyperlink w:anchor="fig_5" w:history="1">
        <w:r>
          <w:rPr>
            <w:color w:val="008ADB"/>
            <w:u w:val="single"/>
          </w:rPr>
          <w:t xml:space="preserve">Fig. 5</w:t>
        </w:r>
      </w:hyperlink>
      <w:r>
        <w:t xml:space="preserve"> presents a representative zero-shot rollout with image frames and aligned motion traces. During steady pursuit, the hand-microrobot distance remains near the target ZPD band. A sharp increase in hand speed briefly reduces the separation below the target range. The policy then increases microrobot speed, and the distance moves back toward the band over the following seconds. When the hand slows, microrobot speed decreases and the separation again approaches the target range. Similar coupled responses throughout the rollout indicate that the policy adjusts microrobot motion to </w:t>
        <w:lastRenderedPageBreak/>
        <w:t>changes in pursuit dynamics rather than applying a fixed-speed escape command. The final decrease in distance corresponds to capture and episode termination. Overall, the representative rollout supports online responsiveness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223404"/>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223404"/>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consistent with the performance differences in Fig. 4. The auxiliary objective may strengthen this temporal representation by encouraging the shared encoder to retain information useful for short-horizon hand-motion prediction. Prediction itself is not the control objective. It provides an additional training signal for motion features that support difficulty regulation, while policy performance remains the primary criterion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The nonmonotonic cross-generation trajectories in Fig. 3 reflect shifts in this distribution as robot and hand optimization alternate. The condition-specific comparisons in Table II clarify the resulting trade-off. Training against a single learned hand favors the matched opponent but degrades under scripted pursuit, whereas league training remains more balanced across scripted, learned, and manual pursuit. The main benefit of league training is therefore reduced specialization rather than the highest score against any single behavior [44]–[49].</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learned, and manual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7" w:name="bib_47"/>
      <w:bookmarkEnd w:id="67"/>
      <w:r>
        <w:rPr>
          <w:rFonts w:ascii="Times New Roman" w:hAnsi="Times New Roman"/>
          <w:sz w:val="16"/>
        </w:rPr>
        <w:t>[47] J. Xiao and M. Feroskhan, “Learning multi-pursuit evasion for safe targeted navigation of drones,” IEEE Transactions on Artificial Intelligence, 2024, doi: 10.1109/TAI.2024.3366871.</w:t>
      </w:r>
    </w:p>
    <w:p>
      <w:pPr>
        <w:spacing w:before="0" w:after="0" w:line="240" w:lineRule="auto"/>
        <w:ind w:left="360" w:hanging="360"/>
        <w:jc w:val="both"/>
      </w:pPr>
      <w:bookmarkStart w:id="68" w:name="bib_48"/>
      <w:bookmarkEnd w:id="68"/>
      <w:r>
        <w:rPr>
          <w:rFonts w:ascii="Times New Roman" w:hAnsi="Times New Roman"/>
          <w:sz w:val="16"/>
        </w:rPr>
        <w:t>[48] A. Sanchez Roncero, O. Andersson, and P. Ögren, “Learned controllers for agile quadrotors in pursuit-evasion games,” arXiv:2506.02849, 2025.</w:t>
      </w:r>
    </w:p>
    <w:p>
      <w:pPr>
        <w:spacing w:before="0" w:after="0" w:line="240" w:lineRule="auto"/>
        <w:ind w:left="360" w:hanging="360"/>
        <w:jc w:val="both"/>
      </w:pPr>
      <w:bookmarkStart w:id="65" w:name="bib_49"/>
      <w:bookmarkEnd w:id="65"/>
      <w:r>
        <w:rPr>
          <w:rFonts w:ascii="Times New Roman" w:hAnsi="Times New Roman"/>
          <w:sz w:val="16"/>
        </w:rPr>
        <w:t>[49]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50"/>
      <w:bookmarkEnd w:id="66"/>
      <w:r>
        <w:rPr>
          <w:rFonts w:ascii="Times New Roman" w:hAnsi="Times New Roman"/>
          <w:sz w:val="16"/>
        </w:rPr>
        <w:t>[50]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[51] F. Zhang et al., “MediaPipe Hands: On-device real-time hand tracking,” arXiv:2006.10214, 2020.</w:t>
      </w:r>
    </w:p>
    <w:p>
      <w:pPr>
        <w:spacing w:before="0" w:after="0" w:line="240" w:lineRule="auto"/>
        <w:ind w:left="360" w:hanging="360"/>
        <w:jc w:val="both"/>
      </w:pPr>
      <w:r>
        <w:rPr>
          <w:rFonts w:ascii="Times New Roman" w:hAnsi="Times New Roman"/>
          <w:sz w:val="16"/>
        </w:rPr>
        <w:t>[52]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[53]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