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035040" cy="2807392"/>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035040" cy="2807392"/>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7A4D2C91" w14:textId="4E8B63F2" w:rsidR="003F4541" w:rsidRDefault="00593922">
      <w:pPr>
        <w:ind w:firstLine="288"/>
        <w:jc w:val="both"/>
      </w:pPr>
      <w:r>
        <w:rPr>
          <w:color w:val="008ADB"/>
          <w:u w:val="single"/>
        </w:rPr>
        <w:t>Asynchronous multi-stage RL has similarly reduced policy nonstationarity in pursuit–evasion by alternating optimization between frozen pursuer and evader policies [47]. Population-based training retains historical opponents to reduce forgetting and overfitting to the latest adversary [45], [46], while AMSPB applies this principle to pursuit–evasion by sampling from a growing population of current and previously trained policies [48]. Our formulation follows this broader principle of staged optimization with policy retention, but uses the opponent pool to maintain the interaction within a target ZPD band rather than to maximize capture or escape. It also retains scripted pursuit in the pool and prioritizes learned hands according to their recent competitiveness against the robot policy.</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episode-length-based prioritized opponent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[49],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27D4C4EA" w14:textId="77777777" w:rsidR="003F4541" w:rsidRDefault="00593922">
      <w:pPr>
        <w:pStyle w:val="21"/>
      </w:pPr>
      <w:r>
        <w:t>A. Evaluation Protocol</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an SPC-only baseline, a single-opponent baseline, and the league policy, with the reactive APF controller serving as a nonlearning geometric reference in Table II. The learned policies are evaluated across hand generations in Fig. 3 and under three representative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6990CB9F" w14:textId="77777777" w:rsidR="003F4541" w:rsidRDefault="00593922">
      <w:pPr>
        <w:pStyle w:val="21"/>
      </w:pPr>
      <w:r>
        <w:t>B. League Training</w:t>
      </w:r>
    </w:p>
    <w:p w14:paraId="72E08C5E" w14:textId="77777777" w:rsidR="003F4541" w:rsidRDefault="00593922">
      <w:pPr>
        <w:ind w:firstLine="288"/>
        <w:jc w:val="both"/>
      </w:pPr>
      <w:r>
        <w:rPr>
          <w:color w:val="008ADB"/>
          <w:u w:val="single"/>
        </w:rPr>
        <w:t>League training improved both mean performance and the lowest observed performance across learned hand policies. In Fig. 3(a), each row represents one robot generation evaluated against all learned hand generations in the pool. Early robot generations perform well over limited portions of the matrix, whereas later generations maintain higher TIZ across a broader set of learned hands. Fig. 3(b) quantifies this change. Mean TIZ across the tested hands increased from 0.188 for the first robot generation to 0.282 for the final generation, while the lowest TIZ increased from 0.138 to 0.204. The trajectories were not strictly monotonic as the opponent pool evolved, but the gains in both summary measures indicate reduced dependence on any single learned hand policy.</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extends the cross-generation analysis through a controlled comparison of the reactive APF controller, the SPC-only baseline, the single-opponent baseline, and the final league policy under scripted, learned, and manual pursuit. The learned hand condition uses H1, the policy obtained after the first hand-training phase; the same checkpoint is used to evaluate all learned robot policies and serves as the sole training opponent for the single-opponent baseline. Automated SPC and H1 results are reported as the mean ± sample standard deviation over 20 independently seeded trials of 1000 episodes each. The APF controller was evaluated only in simulation. Manual pursuit passed mouse commands through the same motor-execution layer as the virtual hands and is treated as a human-in-the-loop stress test rather than clinical validation. Higher TIZ and longer episodes denote more sustained difficulty regulation.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comparison separates specialization from robustness. The SPC-only and single-opponent baselines each degraded outside their training condition, reaching TIZ values of 0.146 against H1 and 0.107 under SPC, respectively. By contrast, the league policy maintained similar performance under SPC and H1, with TIZ values of 0.349 and 0.358. Although the single-opponent baseline remained strongest in its matched H1 condition, the league policy provided the most consistent performance across scripted, learned, and manual pursuit.</w:t>
      </w:r>
    </w:p>
    <w:p w14:paraId="51CB0EA3" w14:textId="77777777" w:rsidR="003F4541" w:rsidRDefault="00593922">
      <w:pPr>
        <w:pStyle w:val="21"/>
      </w:pPr>
      <w:r>
        <w:t>C. Network Ablation</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[53].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Physical Deployment</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[50], MediaPipe Hands tracking [51], camera calibration, and a planar homography from image coordinates to the workspace [52].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223404"/>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223404"/>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learned, and manual pursuit. The main benefit of league training is therefore reduced specialization rather than the highest score against any single behavior [44]–[49].</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7" w:name="bib_47"/>
      <w:bookmarkEnd w:id="67"/>
      <w:r>
        <w:rPr>
          <w:rFonts w:ascii="Times New Roman" w:hAnsi="Times New Roman"/>
          <w:sz w:val="16"/>
        </w:rPr>
        <w:t>[47] J. Xiao and M. Feroskhan, “Learning multi-pursuit evasion for safe targeted navigation of drones,” IEEE Transactions on Artificial Intelligence, 2024, doi: 10.1109/TAI.2024.3366871.</w:t>
      </w:r>
    </w:p>
    <w:p>
      <w:pPr>
        <w:spacing w:before="0" w:after="0" w:line="240" w:lineRule="auto"/>
        <w:ind w:left="360" w:hanging="360"/>
        <w:jc w:val="both"/>
      </w:pPr>
      <w:bookmarkStart w:id="68" w:name="bib_48"/>
      <w:bookmarkEnd w:id="68"/>
      <w:r>
        <w:rPr>
          <w:rFonts w:ascii="Times New Roman" w:hAnsi="Times New Roman"/>
          <w:sz w:val="16"/>
        </w:rPr>
        <w:t>[48] A. Sanchez Roncero, O. Andersson, and P. Ögren, “Learned controllers for agile quadrotors in pursuit-evasion games,” arXiv:2506.02849, 2025.</w:t>
      </w:r>
    </w:p>
    <w:p>
      <w:pPr>
        <w:spacing w:before="0" w:after="0" w:line="240" w:lineRule="auto"/>
        <w:ind w:left="360" w:hanging="360"/>
        <w:jc w:val="both"/>
      </w:pPr>
      <w:bookmarkStart w:id="65" w:name="bib_49"/>
      <w:bookmarkEnd w:id="65"/>
      <w:r>
        <w:rPr>
          <w:rFonts w:ascii="Times New Roman" w:hAnsi="Times New Roman"/>
          <w:sz w:val="16"/>
        </w:rPr>
        <w:t>[49]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50"/>
      <w:bookmarkEnd w:id="66"/>
      <w:r>
        <w:rPr>
          <w:rFonts w:ascii="Times New Roman" w:hAnsi="Times New Roman"/>
          <w:sz w:val="16"/>
        </w:rPr>
        <w:t>[50]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[51] F. Zhang et al., “MediaPipe Hands: On-device real-time hand tracking,” arXiv:2006.10214, 2020.</w:t>
      </w:r>
    </w:p>
    <w:p>
      <w:pPr>
        <w:spacing w:before="0" w:after="0" w:line="240" w:lineRule="auto"/>
        <w:ind w:left="360" w:hanging="360"/>
        <w:jc w:val="both"/>
      </w:pPr>
      <w:r>
        <w:rPr>
          <w:rFonts w:ascii="Times New Roman" w:hAnsi="Times New Roman"/>
          <w:sz w:val="16"/>
        </w:rPr>
        <w:t>[52]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[53]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