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50E3" w:rsidRPr="00A150E3" w:rsidRDefault="00A150E3" w:rsidP="00A150E3">
      <w:pPr>
        <w:widowControl/>
        <w:shd w:val="clear" w:color="auto" w:fill="FFFFFF"/>
        <w:spacing w:line="570" w:lineRule="atLeast"/>
        <w:ind w:firstLineChars="0" w:firstLine="840"/>
        <w:jc w:val="left"/>
        <w:outlineLvl w:val="0"/>
        <w:rPr>
          <w:rFonts w:ascii="Arial" w:eastAsia="宋体" w:hAnsi="Arial" w:cs="Arial"/>
          <w:b/>
          <w:bCs/>
          <w:color w:val="191919"/>
          <w:kern w:val="36"/>
          <w:sz w:val="42"/>
          <w:szCs w:val="42"/>
        </w:rPr>
      </w:pPr>
      <w:bookmarkStart w:id="0" w:name="_GoBack"/>
      <w:r w:rsidRPr="00A150E3">
        <w:rPr>
          <w:rFonts w:ascii="Arial" w:eastAsia="宋体" w:hAnsi="Arial" w:cs="Arial"/>
          <w:b/>
          <w:bCs/>
          <w:color w:val="191919"/>
          <w:kern w:val="36"/>
          <w:sz w:val="42"/>
          <w:szCs w:val="42"/>
        </w:rPr>
        <w:t>最高人民检察院关于办理涉互联网金融犯罪案件有关问题座谈会纪要</w:t>
      </w:r>
      <w:bookmarkEnd w:id="0"/>
      <w:r w:rsidRPr="00A150E3">
        <w:rPr>
          <w:rFonts w:ascii="Arial" w:eastAsia="宋体" w:hAnsi="Arial" w:cs="Arial"/>
          <w:b/>
          <w:bCs/>
          <w:color w:val="191919"/>
          <w:kern w:val="36"/>
          <w:sz w:val="42"/>
          <w:szCs w:val="42"/>
        </w:rPr>
        <w:t> </w:t>
      </w:r>
    </w:p>
    <w:p w:rsidR="00A150E3" w:rsidRPr="00A150E3" w:rsidRDefault="00A150E3" w:rsidP="00A150E3">
      <w:pPr>
        <w:widowControl/>
        <w:shd w:val="clear" w:color="auto" w:fill="FFFFFF"/>
        <w:spacing w:line="300" w:lineRule="atLeast"/>
        <w:ind w:firstLineChars="0" w:firstLine="0"/>
        <w:jc w:val="left"/>
        <w:rPr>
          <w:rFonts w:ascii="Arial" w:eastAsia="宋体" w:hAnsi="Arial" w:cs="Arial"/>
          <w:color w:val="999999"/>
          <w:kern w:val="0"/>
          <w:sz w:val="21"/>
          <w:szCs w:val="21"/>
        </w:rPr>
      </w:pPr>
      <w:r w:rsidRPr="00A150E3">
        <w:rPr>
          <w:rFonts w:ascii="Arial" w:eastAsia="宋体" w:hAnsi="Arial" w:cs="Arial"/>
          <w:color w:val="999999"/>
          <w:kern w:val="0"/>
          <w:sz w:val="21"/>
          <w:szCs w:val="21"/>
          <w:bdr w:val="none" w:sz="0" w:space="0" w:color="auto" w:frame="1"/>
        </w:rPr>
        <w:t>2018-07-24 11:00</w:t>
      </w:r>
    </w:p>
    <w:p w:rsidR="00A150E3" w:rsidRPr="00A150E3" w:rsidRDefault="00A150E3" w:rsidP="00A150E3">
      <w:pPr>
        <w:widowControl/>
        <w:ind w:firstLineChars="0" w:firstLine="0"/>
        <w:jc w:val="left"/>
        <w:rPr>
          <w:rFonts w:ascii="宋体" w:eastAsia="宋体" w:hAnsi="宋体" w:cs="宋体"/>
          <w:kern w:val="0"/>
          <w:sz w:val="24"/>
          <w:szCs w:val="24"/>
        </w:rPr>
      </w:pPr>
      <w:r w:rsidRPr="00A150E3">
        <w:rPr>
          <w:rFonts w:ascii="宋体" w:eastAsia="宋体" w:hAnsi="宋体" w:cs="宋体"/>
          <w:b/>
          <w:bCs/>
          <w:kern w:val="0"/>
          <w:sz w:val="24"/>
          <w:szCs w:val="24"/>
          <w:bdr w:val="none" w:sz="0" w:space="0" w:color="auto" w:frame="1"/>
        </w:rPr>
        <w:t>最高人民检察院</w:t>
      </w:r>
    </w:p>
    <w:p w:rsidR="00A150E3" w:rsidRPr="00A150E3" w:rsidRDefault="00A150E3" w:rsidP="00A150E3">
      <w:pPr>
        <w:widowControl/>
        <w:ind w:firstLineChars="0" w:firstLine="0"/>
        <w:jc w:val="left"/>
        <w:rPr>
          <w:rFonts w:ascii="宋体" w:eastAsia="宋体" w:hAnsi="宋体" w:cs="宋体"/>
          <w:kern w:val="0"/>
          <w:sz w:val="24"/>
          <w:szCs w:val="24"/>
        </w:rPr>
      </w:pPr>
      <w:r w:rsidRPr="00A150E3">
        <w:rPr>
          <w:rFonts w:ascii="宋体" w:eastAsia="宋体" w:hAnsi="宋体" w:cs="宋体"/>
          <w:b/>
          <w:bCs/>
          <w:kern w:val="0"/>
          <w:sz w:val="24"/>
          <w:szCs w:val="24"/>
          <w:bdr w:val="none" w:sz="0" w:space="0" w:color="auto" w:frame="1"/>
        </w:rPr>
        <w:t>关于办理涉互联网金融犯罪案件有关问题座谈会纪要</w:t>
      </w:r>
    </w:p>
    <w:p w:rsidR="00A150E3" w:rsidRPr="00A150E3" w:rsidRDefault="00A150E3" w:rsidP="00A150E3">
      <w:pPr>
        <w:widowControl/>
        <w:ind w:firstLineChars="0" w:firstLine="0"/>
        <w:jc w:val="left"/>
        <w:rPr>
          <w:rFonts w:ascii="宋体" w:eastAsia="宋体" w:hAnsi="宋体" w:cs="宋体"/>
          <w:kern w:val="0"/>
          <w:sz w:val="24"/>
          <w:szCs w:val="24"/>
        </w:rPr>
      </w:pPr>
      <w:r w:rsidRPr="00A150E3">
        <w:rPr>
          <w:rFonts w:ascii="宋体" w:eastAsia="宋体" w:hAnsi="宋体" w:cs="宋体"/>
          <w:b/>
          <w:bCs/>
          <w:kern w:val="0"/>
          <w:sz w:val="24"/>
          <w:szCs w:val="24"/>
          <w:bdr w:val="none" w:sz="0" w:space="0" w:color="auto" w:frame="1"/>
        </w:rPr>
        <w:t>【发布部门】 最高人民检察院</w:t>
      </w:r>
    </w:p>
    <w:p w:rsidR="00A150E3" w:rsidRPr="00A150E3" w:rsidRDefault="00A150E3" w:rsidP="00A150E3">
      <w:pPr>
        <w:widowControl/>
        <w:ind w:firstLineChars="0" w:firstLine="0"/>
        <w:jc w:val="left"/>
        <w:rPr>
          <w:rFonts w:ascii="宋体" w:eastAsia="宋体" w:hAnsi="宋体" w:cs="宋体"/>
          <w:kern w:val="0"/>
          <w:sz w:val="24"/>
          <w:szCs w:val="24"/>
        </w:rPr>
      </w:pPr>
      <w:r w:rsidRPr="00A150E3">
        <w:rPr>
          <w:rFonts w:ascii="宋体" w:eastAsia="宋体" w:hAnsi="宋体" w:cs="宋体"/>
          <w:b/>
          <w:bCs/>
          <w:kern w:val="0"/>
          <w:sz w:val="24"/>
          <w:szCs w:val="24"/>
          <w:bdr w:val="none" w:sz="0" w:space="0" w:color="auto" w:frame="1"/>
        </w:rPr>
        <w:t>【发文字号】 高检诉[2017]14号</w:t>
      </w:r>
    </w:p>
    <w:p w:rsidR="00A150E3" w:rsidRPr="00A150E3" w:rsidRDefault="00A150E3" w:rsidP="00A150E3">
      <w:pPr>
        <w:widowControl/>
        <w:ind w:firstLineChars="0" w:firstLine="0"/>
        <w:jc w:val="left"/>
        <w:rPr>
          <w:rFonts w:ascii="宋体" w:eastAsia="宋体" w:hAnsi="宋体" w:cs="宋体"/>
          <w:kern w:val="0"/>
          <w:sz w:val="24"/>
          <w:szCs w:val="24"/>
        </w:rPr>
      </w:pPr>
      <w:r w:rsidRPr="00A150E3">
        <w:rPr>
          <w:rFonts w:ascii="宋体" w:eastAsia="宋体" w:hAnsi="宋体" w:cs="宋体"/>
          <w:b/>
          <w:bCs/>
          <w:kern w:val="0"/>
          <w:sz w:val="24"/>
          <w:szCs w:val="24"/>
          <w:bdr w:val="none" w:sz="0" w:space="0" w:color="auto" w:frame="1"/>
        </w:rPr>
        <w:t>【发布日期】 2017.06.01</w:t>
      </w:r>
    </w:p>
    <w:p w:rsidR="00A150E3" w:rsidRPr="00A150E3" w:rsidRDefault="00A150E3" w:rsidP="00A150E3">
      <w:pPr>
        <w:widowControl/>
        <w:ind w:firstLineChars="0" w:firstLine="0"/>
        <w:jc w:val="left"/>
        <w:rPr>
          <w:rFonts w:ascii="宋体" w:eastAsia="宋体" w:hAnsi="宋体" w:cs="宋体"/>
          <w:kern w:val="0"/>
          <w:sz w:val="24"/>
          <w:szCs w:val="24"/>
        </w:rPr>
      </w:pPr>
      <w:r w:rsidRPr="00A150E3">
        <w:rPr>
          <w:rFonts w:ascii="宋体" w:eastAsia="宋体" w:hAnsi="宋体" w:cs="宋体"/>
          <w:b/>
          <w:bCs/>
          <w:kern w:val="0"/>
          <w:sz w:val="24"/>
          <w:szCs w:val="24"/>
          <w:bdr w:val="none" w:sz="0" w:space="0" w:color="auto" w:frame="1"/>
        </w:rPr>
        <w:t>【实施日期】 2017.06.01</w:t>
      </w:r>
    </w:p>
    <w:p w:rsidR="00A150E3" w:rsidRPr="00A150E3" w:rsidRDefault="00A150E3" w:rsidP="00A150E3">
      <w:pPr>
        <w:widowControl/>
        <w:ind w:firstLineChars="0" w:firstLine="0"/>
        <w:jc w:val="left"/>
        <w:rPr>
          <w:rFonts w:ascii="宋体" w:eastAsia="宋体" w:hAnsi="宋体" w:cs="宋体"/>
          <w:kern w:val="0"/>
          <w:sz w:val="24"/>
          <w:szCs w:val="24"/>
        </w:rPr>
      </w:pPr>
      <w:r w:rsidRPr="00A150E3">
        <w:rPr>
          <w:rFonts w:ascii="宋体" w:eastAsia="宋体" w:hAnsi="宋体" w:cs="宋体"/>
          <w:b/>
          <w:bCs/>
          <w:kern w:val="0"/>
          <w:sz w:val="24"/>
          <w:szCs w:val="24"/>
          <w:bdr w:val="none" w:sz="0" w:space="0" w:color="auto" w:frame="1"/>
        </w:rPr>
        <w:t>【时 效 性】 现行有效</w:t>
      </w:r>
    </w:p>
    <w:p w:rsidR="00A150E3" w:rsidRPr="00A150E3" w:rsidRDefault="00A150E3" w:rsidP="00A150E3">
      <w:pPr>
        <w:widowControl/>
        <w:ind w:firstLineChars="0" w:firstLine="0"/>
        <w:jc w:val="left"/>
        <w:rPr>
          <w:rFonts w:ascii="宋体" w:eastAsia="宋体" w:hAnsi="宋体" w:cs="宋体"/>
          <w:kern w:val="0"/>
          <w:sz w:val="24"/>
          <w:szCs w:val="24"/>
        </w:rPr>
      </w:pPr>
      <w:r w:rsidRPr="00A150E3">
        <w:rPr>
          <w:rFonts w:ascii="宋体" w:eastAsia="宋体" w:hAnsi="宋体" w:cs="宋体"/>
          <w:b/>
          <w:bCs/>
          <w:kern w:val="0"/>
          <w:sz w:val="24"/>
          <w:szCs w:val="24"/>
          <w:bdr w:val="none" w:sz="0" w:space="0" w:color="auto" w:frame="1"/>
        </w:rPr>
        <w:t>【效力级别】 两高工作文件</w:t>
      </w:r>
    </w:p>
    <w:p w:rsidR="00A150E3" w:rsidRPr="00A150E3" w:rsidRDefault="00A150E3" w:rsidP="00A150E3">
      <w:pPr>
        <w:widowControl/>
        <w:ind w:firstLineChars="0" w:firstLine="0"/>
        <w:jc w:val="left"/>
        <w:rPr>
          <w:rFonts w:ascii="宋体" w:eastAsia="宋体" w:hAnsi="宋体" w:cs="宋体"/>
          <w:kern w:val="0"/>
          <w:sz w:val="24"/>
          <w:szCs w:val="24"/>
        </w:rPr>
      </w:pPr>
      <w:r w:rsidRPr="00A150E3">
        <w:rPr>
          <w:rFonts w:ascii="宋体" w:eastAsia="宋体" w:hAnsi="宋体" w:cs="宋体"/>
          <w:b/>
          <w:bCs/>
          <w:kern w:val="0"/>
          <w:sz w:val="24"/>
          <w:szCs w:val="24"/>
          <w:bdr w:val="none" w:sz="0" w:space="0" w:color="auto" w:frame="1"/>
        </w:rPr>
        <w:t>【法规类别】 互联网，经济审判综合规定</w:t>
      </w:r>
    </w:p>
    <w:p w:rsidR="00A150E3" w:rsidRPr="00A150E3" w:rsidRDefault="00A150E3" w:rsidP="00A150E3">
      <w:pPr>
        <w:widowControl/>
        <w:ind w:firstLineChars="0" w:firstLine="0"/>
        <w:jc w:val="center"/>
        <w:rPr>
          <w:rFonts w:ascii="宋体" w:eastAsia="宋体" w:hAnsi="宋体" w:cs="宋体"/>
          <w:kern w:val="0"/>
          <w:sz w:val="24"/>
          <w:szCs w:val="24"/>
        </w:rPr>
      </w:pPr>
      <w:r w:rsidRPr="00A150E3">
        <w:rPr>
          <w:rFonts w:ascii="宋体" w:eastAsia="宋体" w:hAnsi="宋体" w:cs="宋体"/>
          <w:b/>
          <w:bCs/>
          <w:kern w:val="0"/>
          <w:sz w:val="24"/>
          <w:szCs w:val="24"/>
          <w:bdr w:val="none" w:sz="0" w:space="0" w:color="auto" w:frame="1"/>
        </w:rPr>
        <w:t>最高人民检察院</w:t>
      </w:r>
    </w:p>
    <w:p w:rsidR="00A150E3" w:rsidRPr="00A150E3" w:rsidRDefault="00A150E3" w:rsidP="00A150E3">
      <w:pPr>
        <w:widowControl/>
        <w:ind w:firstLineChars="0" w:firstLine="0"/>
        <w:jc w:val="center"/>
        <w:rPr>
          <w:rFonts w:ascii="宋体" w:eastAsia="宋体" w:hAnsi="宋体" w:cs="宋体"/>
          <w:kern w:val="0"/>
          <w:sz w:val="24"/>
          <w:szCs w:val="24"/>
        </w:rPr>
      </w:pPr>
      <w:r w:rsidRPr="00A150E3">
        <w:rPr>
          <w:rFonts w:ascii="宋体" w:eastAsia="宋体" w:hAnsi="宋体" w:cs="宋体"/>
          <w:b/>
          <w:bCs/>
          <w:kern w:val="0"/>
          <w:sz w:val="24"/>
          <w:szCs w:val="24"/>
          <w:bdr w:val="none" w:sz="0" w:space="0" w:color="auto" w:frame="1"/>
        </w:rPr>
        <w:t>关于办理涉互联网金融犯罪案件有关问题</w:t>
      </w:r>
    </w:p>
    <w:p w:rsidR="00A150E3" w:rsidRPr="00A150E3" w:rsidRDefault="00A150E3" w:rsidP="00A150E3">
      <w:pPr>
        <w:widowControl/>
        <w:ind w:firstLineChars="0" w:firstLine="0"/>
        <w:jc w:val="center"/>
        <w:rPr>
          <w:rFonts w:ascii="宋体" w:eastAsia="宋体" w:hAnsi="宋体" w:cs="宋体"/>
          <w:kern w:val="0"/>
          <w:sz w:val="24"/>
          <w:szCs w:val="24"/>
        </w:rPr>
      </w:pPr>
      <w:r w:rsidRPr="00A150E3">
        <w:rPr>
          <w:rFonts w:ascii="宋体" w:eastAsia="宋体" w:hAnsi="宋体" w:cs="宋体"/>
          <w:b/>
          <w:bCs/>
          <w:kern w:val="0"/>
          <w:sz w:val="24"/>
          <w:szCs w:val="24"/>
          <w:bdr w:val="none" w:sz="0" w:space="0" w:color="auto" w:frame="1"/>
        </w:rPr>
        <w:t>座谈会纪要</w:t>
      </w:r>
    </w:p>
    <w:p w:rsidR="00A150E3" w:rsidRPr="00A150E3" w:rsidRDefault="00A150E3" w:rsidP="00A150E3">
      <w:pPr>
        <w:widowControl/>
        <w:ind w:firstLineChars="0" w:firstLine="0"/>
        <w:jc w:val="center"/>
        <w:rPr>
          <w:rFonts w:ascii="宋体" w:eastAsia="宋体" w:hAnsi="宋体" w:cs="宋体"/>
          <w:kern w:val="0"/>
          <w:sz w:val="24"/>
          <w:szCs w:val="24"/>
        </w:rPr>
      </w:pPr>
      <w:r w:rsidRPr="00A150E3">
        <w:rPr>
          <w:rFonts w:ascii="宋体" w:eastAsia="宋体" w:hAnsi="宋体" w:cs="宋体"/>
          <w:b/>
          <w:bCs/>
          <w:kern w:val="0"/>
          <w:sz w:val="24"/>
          <w:szCs w:val="24"/>
          <w:bdr w:val="none" w:sz="0" w:space="0" w:color="auto" w:frame="1"/>
        </w:rPr>
        <w:t>（高检诉[2017]14号　2017年6月2日）</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互联网金融是金融与互联网相互融合形成的新型金融业务模式。发展互联网金融，对加快实施创新驱动发展战略、推进供给侧结构性改革、促进经济转型升级具有积极作用。但是，在互联网金融快速发展过程中，部分机构、业态偏离了正确方向，有些甚至打着"金融创新"的幌子进行非法集资、金融诈骗等违法犯罪活动，严重扰乱了金融管理秩序，侵害了人民群众合法权益。2016 年4 月，国务院部署开展了互联网金融风险专项整治工作，集中整治违法违规行为，防范和化解互联网金融风险。各级检察机关积极参与专项整治工作，依法办理进入检察环节的涉互联网金融犯罪案件。针对办案中遇到的新情况、新问题，高检院公诉厅先后在昆明、上海、福州召开座谈会，对办理涉互联网金融犯罪案件中遇到的有关行为性质、法律适用、证据审查、追诉范围等问题进行了深入研究。纪要如下：</w:t>
      </w:r>
    </w:p>
    <w:p w:rsidR="00A150E3" w:rsidRPr="00A150E3" w:rsidRDefault="00A150E3" w:rsidP="00A150E3">
      <w:pPr>
        <w:widowControl/>
        <w:ind w:firstLineChars="0" w:firstLine="0"/>
        <w:jc w:val="left"/>
        <w:rPr>
          <w:rFonts w:ascii="宋体" w:eastAsia="宋体" w:hAnsi="宋体" w:cs="宋体"/>
          <w:kern w:val="0"/>
          <w:sz w:val="24"/>
          <w:szCs w:val="24"/>
        </w:rPr>
      </w:pPr>
      <w:r w:rsidRPr="00A150E3">
        <w:rPr>
          <w:rFonts w:ascii="宋体" w:eastAsia="宋体" w:hAnsi="宋体" w:cs="宋体"/>
          <w:b/>
          <w:bCs/>
          <w:kern w:val="0"/>
          <w:sz w:val="24"/>
          <w:szCs w:val="24"/>
          <w:bdr w:val="none" w:sz="0" w:space="0" w:color="auto" w:frame="1"/>
        </w:rPr>
        <w:t>一、办理涉互联网金融犯罪案件的基本要求</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促进和保障互联网金融规范健康发展，是检察机关服务经济社会发展的重要内容。各地检察机关公诉部门应当充分认识防范和化解互联网金融风险的重要性、紧迫性和复杂性，立足检察职能，积极参与互联网金融风险专项整治工作，有效预防、依法惩治涉互联网金融犯罪，切实维护人民群众合法权益，维护国家金融安全。</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1、准确认识互联网金融的本质。互联网金融的本质仍然是金融，其潜在的风险与传统金融没有区别，甚至还可能因互联网的作用而被放大。要依据现有的金融管理法律规定，依法准确判断各类金融活动、金融业态的法律性质，准确界定金融创新和金融违法犯罪的界限。在办理涉互联网金融犯罪案件时，判断是否符合"违反国家规定""未经有关国家主管部门批准"等要件时，应当以现行刑事法律和金融管理法律法规为依据。对各种类型互联网金融活动，要深入剖析行为实质并据此判断其性质，从而准确区分罪与非罪、此罪与彼罪、罪轻与罪重、打击与保护的界限，不能机械地被所谓"互联网金融创新"表象所迷惑。</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lastRenderedPageBreak/>
        <w:t>2、妥善把握刑事追诉的范围和边界。涉互联网金融犯罪案件涉案人员众多，要按照区别对待的原则分类处理，综合运用刑事追诉和非刑</w:t>
      </w:r>
      <w:proofErr w:type="gramStart"/>
      <w:r w:rsidRPr="00A150E3">
        <w:rPr>
          <w:rFonts w:ascii="宋体" w:eastAsia="宋体" w:hAnsi="宋体" w:cs="宋体"/>
          <w:kern w:val="0"/>
          <w:sz w:val="24"/>
          <w:szCs w:val="24"/>
        </w:rPr>
        <w:t>事手段</w:t>
      </w:r>
      <w:proofErr w:type="gramEnd"/>
      <w:r w:rsidRPr="00A150E3">
        <w:rPr>
          <w:rFonts w:ascii="宋体" w:eastAsia="宋体" w:hAnsi="宋体" w:cs="宋体"/>
          <w:kern w:val="0"/>
          <w:sz w:val="24"/>
          <w:szCs w:val="24"/>
        </w:rPr>
        <w:t>处置和化解风险，打击少数、教育挽救大多数。要坚持主客观相统一的原则，根据犯罪嫌疑人在犯罪活动中的地位作用、涉案数额、危害结果、主观过错等主客观情节，综合判断责任轻重及刑事追诉的必要性，做到罪责适应、罚当其罪。对犯罪情节严重、主观恶性大、在犯罪中起主要作用的人员，特别是核心管理层人员和骨干人员，依法从严打击；对犯罪情节相对较轻、主观恶性较小、在犯罪中起次要作用的人员依法从宽处理。</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3、注重案件统筹协调推进。涉互联网金融犯罪跨区域特征明显，各地检察机关公诉部门要按照"统一办案协调、统一案件指挥、统一资产处置、分别侦查诉讼、分别</w:t>
      </w:r>
      <w:proofErr w:type="gramStart"/>
      <w:r w:rsidRPr="00A150E3">
        <w:rPr>
          <w:rFonts w:ascii="宋体" w:eastAsia="宋体" w:hAnsi="宋体" w:cs="宋体"/>
          <w:kern w:val="0"/>
          <w:sz w:val="24"/>
          <w:szCs w:val="24"/>
        </w:rPr>
        <w:t>落实维稳</w:t>
      </w:r>
      <w:proofErr w:type="gramEnd"/>
      <w:r w:rsidRPr="00A150E3">
        <w:rPr>
          <w:rFonts w:ascii="宋体" w:eastAsia="宋体" w:hAnsi="宋体" w:cs="宋体"/>
          <w:kern w:val="0"/>
          <w:sz w:val="24"/>
          <w:szCs w:val="24"/>
        </w:rPr>
        <w:t>"（下称"三统两分"）的要求分别处理好辖区内案件，加强横向、纵向联系，在上级检察机关特别是省级检察院的指导下统一协调推进办案工作，确保辖区内案件处理结果相对平衡统一。跨区县案件由地市级检察院统筹协调，跨地市案件由省级检察院统一协调，跨省案件由高检院公诉厅统一协调。各级检察机关公诉部门要加强与公安机关、地方金融办等相关单位以及检察机关内部</w:t>
      </w:r>
      <w:proofErr w:type="gramStart"/>
      <w:r w:rsidRPr="00A150E3">
        <w:rPr>
          <w:rFonts w:ascii="宋体" w:eastAsia="宋体" w:hAnsi="宋体" w:cs="宋体"/>
          <w:kern w:val="0"/>
          <w:sz w:val="24"/>
          <w:szCs w:val="24"/>
        </w:rPr>
        <w:t>侦</w:t>
      </w:r>
      <w:proofErr w:type="gramEnd"/>
      <w:r w:rsidRPr="00A150E3">
        <w:rPr>
          <w:rFonts w:ascii="宋体" w:eastAsia="宋体" w:hAnsi="宋体" w:cs="宋体"/>
          <w:kern w:val="0"/>
          <w:sz w:val="24"/>
          <w:szCs w:val="24"/>
        </w:rPr>
        <w:t>监、控申等部门的联系，建立健全案件信息通报机制，及时掌握重大案件的立案、侦查、批捕、信访等情况，适时开展提前介入侦查等工作，并及时上报上级检察院。省级检察院公诉部门要发挥工作主动性，主动掌握社会影响大的案件情况，研究制定工作方案，统筹协调解决办案中遇到的问题，重大、疑难、复杂问题要及时向高检院报告。</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4、坚持司法办案"三个效果"有机统一。涉互联网金融犯罪影响广泛，社会各界特别是投资人群体十分关注案件处理。各级检察机关公诉部门要从有利于全案依法妥善处置的角度出发，切实做好提前介入侦查引导取证、审查起诉、出庭公诉等各个阶段的工作，依法妥善处理重大敏感问题，不能机械司法、就案办案。同时，要把办案工作与保障投资人合法权益紧密结合起来，同步做好释法说理、风险防控、追赃挽损、维护稳定等工作，努力实现司法办案的法律效果、社会效果、政治效果有机统一。</w:t>
      </w:r>
    </w:p>
    <w:p w:rsidR="00A150E3" w:rsidRPr="00A150E3" w:rsidRDefault="00A150E3" w:rsidP="00A150E3">
      <w:pPr>
        <w:widowControl/>
        <w:ind w:firstLineChars="0" w:firstLine="0"/>
        <w:jc w:val="left"/>
        <w:rPr>
          <w:rFonts w:ascii="宋体" w:eastAsia="宋体" w:hAnsi="宋体" w:cs="宋体"/>
          <w:kern w:val="0"/>
          <w:sz w:val="24"/>
          <w:szCs w:val="24"/>
        </w:rPr>
      </w:pPr>
      <w:r w:rsidRPr="00A150E3">
        <w:rPr>
          <w:rFonts w:ascii="宋体" w:eastAsia="宋体" w:hAnsi="宋体" w:cs="宋体"/>
          <w:b/>
          <w:bCs/>
          <w:kern w:val="0"/>
          <w:sz w:val="24"/>
          <w:szCs w:val="24"/>
          <w:bdr w:val="none" w:sz="0" w:space="0" w:color="auto" w:frame="1"/>
        </w:rPr>
        <w:t>二、准确界定涉互联网金融行为法律性质</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5、互联网金融涉及P2P 网络借贷、股权众筹、第三方支付、互联网保险以及通过互联网开展资产管理及跨界从事金融业务等多个金融领域，行为方式多样，所涉法律关系复杂。违法犯罪行为隐蔽性、迷惑性强，波及面广，社会影响大，要根据犯罪行为的实质特征和社会危害，准确界定行为的法律性质和刑法适用的罪名。</w:t>
      </w:r>
    </w:p>
    <w:p w:rsidR="00A150E3" w:rsidRPr="00A150E3" w:rsidRDefault="00A150E3" w:rsidP="00A150E3">
      <w:pPr>
        <w:widowControl/>
        <w:ind w:firstLineChars="0" w:firstLine="0"/>
        <w:jc w:val="left"/>
        <w:rPr>
          <w:rFonts w:ascii="宋体" w:eastAsia="宋体" w:hAnsi="宋体" w:cs="宋体"/>
          <w:kern w:val="0"/>
          <w:sz w:val="24"/>
          <w:szCs w:val="24"/>
        </w:rPr>
      </w:pPr>
      <w:r w:rsidRPr="00A150E3">
        <w:rPr>
          <w:rFonts w:ascii="宋体" w:eastAsia="宋体" w:hAnsi="宋体" w:cs="宋体"/>
          <w:b/>
          <w:bCs/>
          <w:kern w:val="0"/>
          <w:sz w:val="24"/>
          <w:szCs w:val="24"/>
          <w:bdr w:val="none" w:sz="0" w:space="0" w:color="auto" w:frame="1"/>
        </w:rPr>
        <w:t>（一）非法吸收公众存款行为的认定</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6、涉互联网金融活动在未经有关部门依法批准的情形下，公开宣传并向不特定公众吸收资金，承诺在一定期限内还本付息的，应当依法追究刑事责任。其中，应重点审查互联网金融活动相关主体是否存在归集资金、沉淀资金，致使投资人资金存在被挪用、侵占等重大风险等情形。</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lastRenderedPageBreak/>
        <w:t>7、互联网金融的本质是金融，判断其是否属于"未经有关部门依法批准"，即行为是否具有非法性的主要法律依据是《商业银行法》、《非法金融机构和非法金融业务活动取缔办法》（国务院令第247 号）等现行有效的金融管理法律规定。</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8、对以下网络借贷领域的非法吸收公众资金的行为，应当以非法吸收公众存款罪分别追究相关行为主体的刑事责任：</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（1）中介机构以提供信息中介服务为名，实际从事直接或间接归集资金、</w:t>
      </w:r>
      <w:proofErr w:type="gramStart"/>
      <w:r w:rsidRPr="00A150E3">
        <w:rPr>
          <w:rFonts w:ascii="宋体" w:eastAsia="宋体" w:hAnsi="宋体" w:cs="宋体"/>
          <w:kern w:val="0"/>
          <w:sz w:val="24"/>
          <w:szCs w:val="24"/>
        </w:rPr>
        <w:t>甚至自融或</w:t>
      </w:r>
      <w:proofErr w:type="gramEnd"/>
      <w:r w:rsidRPr="00A150E3">
        <w:rPr>
          <w:rFonts w:ascii="宋体" w:eastAsia="宋体" w:hAnsi="宋体" w:cs="宋体"/>
          <w:kern w:val="0"/>
          <w:sz w:val="24"/>
          <w:szCs w:val="24"/>
        </w:rPr>
        <w:t>变相</w:t>
      </w:r>
      <w:proofErr w:type="gramStart"/>
      <w:r w:rsidRPr="00A150E3">
        <w:rPr>
          <w:rFonts w:ascii="宋体" w:eastAsia="宋体" w:hAnsi="宋体" w:cs="宋体"/>
          <w:kern w:val="0"/>
          <w:sz w:val="24"/>
          <w:szCs w:val="24"/>
        </w:rPr>
        <w:t>自融等</w:t>
      </w:r>
      <w:proofErr w:type="gramEnd"/>
      <w:r w:rsidRPr="00A150E3">
        <w:rPr>
          <w:rFonts w:ascii="宋体" w:eastAsia="宋体" w:hAnsi="宋体" w:cs="宋体"/>
          <w:kern w:val="0"/>
          <w:sz w:val="24"/>
          <w:szCs w:val="24"/>
        </w:rPr>
        <w:t>行为，应当依法追究中介机构的刑事责任。特别要注意识别</w:t>
      </w:r>
      <w:proofErr w:type="gramStart"/>
      <w:r w:rsidRPr="00A150E3">
        <w:rPr>
          <w:rFonts w:ascii="宋体" w:eastAsia="宋体" w:hAnsi="宋体" w:cs="宋体"/>
          <w:kern w:val="0"/>
          <w:sz w:val="24"/>
          <w:szCs w:val="24"/>
        </w:rPr>
        <w:t>变相自融行为</w:t>
      </w:r>
      <w:proofErr w:type="gramEnd"/>
      <w:r w:rsidRPr="00A150E3">
        <w:rPr>
          <w:rFonts w:ascii="宋体" w:eastAsia="宋体" w:hAnsi="宋体" w:cs="宋体"/>
          <w:kern w:val="0"/>
          <w:sz w:val="24"/>
          <w:szCs w:val="24"/>
        </w:rPr>
        <w:t>，如中介机构通过拆分融资项目期限、实行债权转让等方式为自己吸收资金的，应当认定为非法吸收公众存款。</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2）中介机构与借款人存在以下情形之一的，应当依法追究刑事责任：①中介机构与借款人合谋或者明知借款人存在违规情形，仍为其非法吸收公众存款提供服务的；中介机构与借款人合谋，采取向出借人提供信用担保、通过电子渠道以外的物理场所开展借贷业务等违规方式向社会公众吸收资金的；②双方合谋通过拆分融资项目期限、实行债权转让等方式为借款人吸收资金的。在对中介机构、借款人进行追诉时，应根据各自在非法集资中的地位、作用确定其刑事责任。中介机构虽然没有直接吸收资金，但是通过大肆组织借款人开展非法集资并从中收取费用数额巨大、情节严重的，可以认定为主犯。</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3）借款人故意隐瞒事实，违反规定，以自己名义或借用他人名义利用多个网络借贷平台发布借款信息，借款总额超过规定的最高限额，或将吸收资金用于明确禁止的投资股票、场外配资、期货合约等高风险行业，造成重大损失和社会影响的，应当依法追究借款人的刑事责任。对于借款人将借款主要用于正常的生产经营活动，能够及时清退所吸收资金，不作为犯罪处理。</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9、在非法吸收公众存款罪中，原则上认定主观故意并不要求以明知法律的禁止性规定为要件。特别是具备一定涉金融活动相关从业经历、专业背景或在犯罪活动中担任一定管理职务的犯罪嫌疑人，应当知晓相关金融法律管理规定，如果有证据证明其实际从事的行为应当批准而未经批准，行为在客观上具有非法性，原则上就可以认定其具有非法吸收公众存款的主观故意。在证明犯罪嫌疑人的主观故意时，可以收集运用犯罪嫌疑人的任职情况、职业经历、专业背景、培训经历、此前任职单位或者其本人因从事同类行为受到处罚情况等证据，证明犯罪嫌疑人提出的"不知道相关行为被法律所禁止，故不具有非法吸收公众存款的主观故意"等辩解不能成立。除此之外，还可以收集运用以下证据进一步印证犯罪嫌疑人知道或应当知道其所从事行为具有非法性，比如犯罪嫌疑人故意规避法律以逃避监管的相关证据：自己或要求下属与投资人签订虚假的亲友关系确认书，频繁更换宣传用语逃避监管，实际推介内容与宣传用语、实际经营状况不一致，刻意向投资人夸大公司兑付能力，在培训课程中传授或接受规避法律的方法，等等。</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lastRenderedPageBreak/>
        <w:t>10、对于无相关职业经历、专业背景，且从业时间短暂，在单位犯罪中层级较低，纯属执行单位领导指令的犯罪嫌疑人提出辩解的，如确实无其他证据证明其具有主观故意的，可以不作为犯罪处理。另外，实践中还存在犯罪嫌疑人提出因信赖行政主管部门出具的相关意见而陷入错误认识的辩解。如果上述辩解确有证据证明，不应作为犯罪处理，但应当对行政主管部门出具的相关意见及其出具过程进行查证，如存在以下情形之一，仍应认定犯罪嫌疑人具有非法吸收公众存款的主观故意：</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（1）行政主管部门出具意见所涉及的行为与犯罪嫌疑人实际从事的行为不一致的；</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（2）行政主管部门出具的意见未对是否存在非法吸收公众存款问题进行合法性审查，仅对其他合法性问题进行审查的；</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（3）犯罪嫌疑人在行政主管部门出具意见时故意隐瞒事实、弄虚作假的；</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（4）犯罪嫌疑人与出具意见的行政主管部门的工作人员存在利益输送行为的；</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（5）犯罪嫌疑人存在其他影响和干扰行政主管部门出具意见公正性的情形的。</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对于犯罪嫌疑人提出因信赖专家学者、律师等专业人士、主流新闻媒体宣传或有关行政主管部门工作人员的个人意见而陷入错误认识的辩解，不能作为犯罪嫌疑人判断自身行为合法性的根据和排除主观故意的理由。</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11、负责或从事吸收资金行为的犯罪嫌疑人非法吸收公众存款金额，根据其实际参与吸收的全部金额认定。但以下金额不应计入该犯罪嫌疑人的吸收金额：</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（1）犯罪嫌疑人自身及其近亲属所投资的资金金额；</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（2）记录在犯罪嫌疑人名下，但其未实际参与吸收且未从中收取任何形式好处的资金。</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吸收金额经过司法会计鉴定的，可以将前述不计</w:t>
      </w:r>
      <w:proofErr w:type="gramStart"/>
      <w:r w:rsidRPr="00A150E3">
        <w:rPr>
          <w:rFonts w:ascii="宋体" w:eastAsia="宋体" w:hAnsi="宋体" w:cs="宋体"/>
          <w:kern w:val="0"/>
          <w:sz w:val="24"/>
          <w:szCs w:val="24"/>
        </w:rPr>
        <w:t>入部分</w:t>
      </w:r>
      <w:proofErr w:type="gramEnd"/>
      <w:r w:rsidRPr="00A150E3">
        <w:rPr>
          <w:rFonts w:ascii="宋体" w:eastAsia="宋体" w:hAnsi="宋体" w:cs="宋体"/>
          <w:kern w:val="0"/>
          <w:sz w:val="24"/>
          <w:szCs w:val="24"/>
        </w:rPr>
        <w:t>直接扣除。但是，前述两项所涉金额仍应计入相对应的上一级负责人及所在单位的吸收金额。</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12、投资人在每期投资结束后，利用投资账户中的资金（包括每期投资结束后归还的本金、利息）进行反复投资的金额应当累计计算，但对反复投资的数额应当</w:t>
      </w:r>
      <w:proofErr w:type="gramStart"/>
      <w:r w:rsidRPr="00A150E3">
        <w:rPr>
          <w:rFonts w:ascii="宋体" w:eastAsia="宋体" w:hAnsi="宋体" w:cs="宋体"/>
          <w:kern w:val="0"/>
          <w:sz w:val="24"/>
          <w:szCs w:val="24"/>
        </w:rPr>
        <w:t>作出</w:t>
      </w:r>
      <w:proofErr w:type="gramEnd"/>
      <w:r w:rsidRPr="00A150E3">
        <w:rPr>
          <w:rFonts w:ascii="宋体" w:eastAsia="宋体" w:hAnsi="宋体" w:cs="宋体"/>
          <w:kern w:val="0"/>
          <w:sz w:val="24"/>
          <w:szCs w:val="24"/>
        </w:rPr>
        <w:t>说明。对负责或从事行政管理、财务会计、技术服务等辅助工作的犯罪嫌疑人，应当按照其参与的犯罪事实，结合其在犯罪中的地位和作用，依法确定刑事责任范围。</w:t>
      </w:r>
    </w:p>
    <w:p w:rsidR="00A150E3" w:rsidRPr="00A150E3" w:rsidRDefault="00A150E3" w:rsidP="00A150E3">
      <w:pPr>
        <w:widowControl/>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lastRenderedPageBreak/>
        <w:t>13、</w:t>
      </w:r>
      <w:r w:rsidRPr="00A150E3">
        <w:rPr>
          <w:rFonts w:ascii="宋体" w:eastAsia="宋体" w:hAnsi="宋体" w:cs="宋体"/>
          <w:kern w:val="0"/>
          <w:sz w:val="24"/>
          <w:szCs w:val="24"/>
          <w:bdr w:val="none" w:sz="0" w:space="0" w:color="auto" w:frame="1"/>
        </w:rPr>
        <w:t xml:space="preserve">确定犯罪嫌疑人的吸收金额时，应当重点审查、运用以下证据：（1）涉案主体自身的服务器或第三方服务器上存储的交易记录等电子数据；（2）会计账簿和会计凭证；（3）银行账户交易记录、POS </w:t>
      </w:r>
      <w:proofErr w:type="gramStart"/>
      <w:r w:rsidRPr="00A150E3">
        <w:rPr>
          <w:rFonts w:ascii="宋体" w:eastAsia="宋体" w:hAnsi="宋体" w:cs="宋体"/>
          <w:kern w:val="0"/>
          <w:sz w:val="24"/>
          <w:szCs w:val="24"/>
          <w:bdr w:val="none" w:sz="0" w:space="0" w:color="auto" w:frame="1"/>
        </w:rPr>
        <w:t>机支付</w:t>
      </w:r>
      <w:proofErr w:type="gramEnd"/>
      <w:r w:rsidRPr="00A150E3">
        <w:rPr>
          <w:rFonts w:ascii="宋体" w:eastAsia="宋体" w:hAnsi="宋体" w:cs="宋体"/>
          <w:kern w:val="0"/>
          <w:sz w:val="24"/>
          <w:szCs w:val="24"/>
          <w:bdr w:val="none" w:sz="0" w:space="0" w:color="auto" w:frame="1"/>
        </w:rPr>
        <w:t>记录；（4）资金收付凭证、书面合同等书证。仅凭投资人报案数据不能认定吸收金额。</w:t>
      </w:r>
    </w:p>
    <w:p w:rsidR="00A150E3" w:rsidRPr="00A150E3" w:rsidRDefault="00A150E3" w:rsidP="00A150E3">
      <w:pPr>
        <w:widowControl/>
        <w:ind w:firstLineChars="0" w:firstLine="0"/>
        <w:jc w:val="left"/>
        <w:rPr>
          <w:rFonts w:ascii="宋体" w:eastAsia="宋体" w:hAnsi="宋体" w:cs="宋体"/>
          <w:kern w:val="0"/>
          <w:sz w:val="24"/>
          <w:szCs w:val="24"/>
        </w:rPr>
      </w:pPr>
      <w:r w:rsidRPr="00A150E3">
        <w:rPr>
          <w:rFonts w:ascii="宋体" w:eastAsia="宋体" w:hAnsi="宋体" w:cs="宋体"/>
          <w:b/>
          <w:bCs/>
          <w:kern w:val="0"/>
          <w:sz w:val="24"/>
          <w:szCs w:val="24"/>
          <w:bdr w:val="none" w:sz="0" w:space="0" w:color="auto" w:frame="1"/>
        </w:rPr>
        <w:t>（二）集资诈骗行为的认定</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14、以非法占有为目的，使用诈骗方法非法集资，是集资诈骗罪的本质特征。是否具有非法占有目的，是区分非法吸收公众存款罪和集资诈骗罪的关键要件，对此要重点围绕融资项目真实性、资金去向、归还能力等事实进行综合判断。犯罪嫌疑人存在以下情形之一的，原则上可以认定具有非法占有目的：</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（1）大部分资金未用于生产经营活动，或名义上投入生产经营但又通过各种方式抽逃转移资金的；</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（2）资金使用成本过高，生产经营活动的盈利能力不具有支付全部本息的现实可能性的；</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（3）对资金使用的决策极度不负责任或肆意挥霍造成资金缺口较大的；</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（4）归还本息主要通过借新还旧来实现的；</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（5）其他依照有关司法解释可以认定为非法占有目的的情形。</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15、对于共同犯罪或单位犯罪案件中，不同层级的犯罪嫌疑人之间存在犯罪目的发生转化或者犯罪目的明显不同的，应当根据犯罪嫌疑人的犯罪目的分别认定。</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1）注意区分犯罪目的发生转变的时间节点。犯罪嫌疑人在初始阶段仅具有非法吸收公众存款的故意，不具有非法占有目的，但在发生经营失败、资金链断裂等问题后，明知没有归还能力仍然继续吸收公众存款的，这一时间节点之后的行为应当认定为集资诈骗罪，此前的行为应当认定为非法吸收公众存款罪。</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2）注意区分犯罪嫌疑人的犯罪目的的差异。在共同犯罪或单位犯罪中，犯罪嫌疑人由于层级、职责分工、获取收益方式、对全部犯罪事实的知情程度等不同，其犯罪目的也存在不同。在非法集资犯罪中，有的犯罪嫌疑人具有非法占有的目的，有的则不具有非法占有目的，对此，应当分别认定为集资诈骗罪和非法吸收公众存款罪。</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16、证明主观上是否具有非法占有目的，可以重点收集、运用以下客观证据：</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（1）与实施集资诈骗整体行为模式相关的证据：投资合同、宣传资料、培训内容等；</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lastRenderedPageBreak/>
        <w:t>（2）与资金使用相关的证据：资金往来记录、会计账簿和会计凭证、资金使用成本（包括利息和佣金等）、资金决策使用过程、资金主要用途、财产转移情况等；</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（3）与归还能力相关的证据：吸收资金所投资项目内容、投资实际经营情况、盈利能力、归还本息资金的主要来源、负债情况、是否存在虚构业绩等虚假宣传行为等；</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4）其他涉及欺诈等方面的证据：虚构融资项目进行宣传、隐瞒资金实际用途、隐匿销毁账簿；等等。司法会计鉴定机构对相关数据进行鉴定时，办案部门可以根据查证犯罪事实的需要提出重点鉴定的项目，保证司法会计鉴定意见</w:t>
      </w:r>
      <w:proofErr w:type="gramStart"/>
      <w:r w:rsidRPr="00A150E3">
        <w:rPr>
          <w:rFonts w:ascii="宋体" w:eastAsia="宋体" w:hAnsi="宋体" w:cs="宋体"/>
          <w:kern w:val="0"/>
          <w:sz w:val="24"/>
          <w:szCs w:val="24"/>
        </w:rPr>
        <w:t>与待证的</w:t>
      </w:r>
      <w:proofErr w:type="gramEnd"/>
      <w:r w:rsidRPr="00A150E3">
        <w:rPr>
          <w:rFonts w:ascii="宋体" w:eastAsia="宋体" w:hAnsi="宋体" w:cs="宋体"/>
          <w:kern w:val="0"/>
          <w:sz w:val="24"/>
          <w:szCs w:val="24"/>
        </w:rPr>
        <w:t>构成要件事实之间的关联性。</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17、集资诈骗的数额，应当以犯罪嫌疑人实际骗取的金额计算。犯罪嫌疑人为吸收公众资金制造还本付息的假象，在诈骗的同时对部分投资人还本付息的，集资诈骗的金额以案发时实际未兑付的金额计算。案发后，犯罪嫌疑人主动退还集资款项的，不能从集资诈骗的金额中扣除，但可以作为量刑情节考虑。</w:t>
      </w:r>
    </w:p>
    <w:p w:rsidR="00A150E3" w:rsidRPr="00A150E3" w:rsidRDefault="00A150E3" w:rsidP="00A150E3">
      <w:pPr>
        <w:widowControl/>
        <w:ind w:firstLineChars="0" w:firstLine="0"/>
        <w:jc w:val="left"/>
        <w:rPr>
          <w:rFonts w:ascii="宋体" w:eastAsia="宋体" w:hAnsi="宋体" w:cs="宋体"/>
          <w:kern w:val="0"/>
          <w:sz w:val="24"/>
          <w:szCs w:val="24"/>
        </w:rPr>
      </w:pPr>
      <w:r w:rsidRPr="00A150E3">
        <w:rPr>
          <w:rFonts w:ascii="宋体" w:eastAsia="宋体" w:hAnsi="宋体" w:cs="宋体"/>
          <w:b/>
          <w:bCs/>
          <w:kern w:val="0"/>
          <w:sz w:val="24"/>
          <w:szCs w:val="24"/>
          <w:bdr w:val="none" w:sz="0" w:space="0" w:color="auto" w:frame="1"/>
        </w:rPr>
        <w:t>（三）非法经营资金支付结算行为的认定</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18、支付结算业务（也称支付业务）是商业银行或者支付机构在收付款人之间提供的货币资金转移服务。非银行机构从事支付结算业务，应当经中国人民银行批准取得《支付业务许可证》，成为支付机构。未取得支付业务许可从事该业务的行为，违反《非法金融机构和非法金融业务活动取缔办法》第四条第一款第（三）、（四）项的规定，破坏了支付结算业务许可制度，危害支付市场秩序和安全，情节严重的，适用刑法第二百二十五条第（三）项，以非法经营罪追究刑事责任。具体情形：</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1）未取得支付业务许可经营基于客户支付账户的网络支付业务。无证网络支付机构为客户非法开立支付账户，客户先把资金支付到该支付账户，再由无证机构根据订单信息从支付账户平台将资金结算到收款人银行账户。</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（2）未取得支付业务许可经营多用途预付卡业务。无证发卡机构非法发行可跨地区、跨行业、跨法人使用的多用途预付卡，聚集大量的预付卡销售资金，并根据客户订单信息向商户划转结算资金。</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19、在具体办案时，要深入剖析相关行为是否具备资金支付结算的实质特征，准确区分支付工具的正常商业流转与提供支付结算服务、区分单用途预付卡与多用途预付卡业务，充分考虑具体行为与"地下钱庄"等同类犯罪在社会危害方面的相当性以及刑事处罚的必要性，严格把握入罪</w:t>
      </w:r>
      <w:proofErr w:type="gramStart"/>
      <w:r w:rsidRPr="00A150E3">
        <w:rPr>
          <w:rFonts w:ascii="宋体" w:eastAsia="宋体" w:hAnsi="宋体" w:cs="宋体"/>
          <w:kern w:val="0"/>
          <w:sz w:val="24"/>
          <w:szCs w:val="24"/>
        </w:rPr>
        <w:t>和出罪标准</w:t>
      </w:r>
      <w:proofErr w:type="gramEnd"/>
      <w:r w:rsidRPr="00A150E3">
        <w:rPr>
          <w:rFonts w:ascii="宋体" w:eastAsia="宋体" w:hAnsi="宋体" w:cs="宋体"/>
          <w:kern w:val="0"/>
          <w:sz w:val="24"/>
          <w:szCs w:val="24"/>
        </w:rPr>
        <w:t>。</w:t>
      </w:r>
    </w:p>
    <w:p w:rsidR="00A150E3" w:rsidRPr="00A150E3" w:rsidRDefault="00A150E3" w:rsidP="00A150E3">
      <w:pPr>
        <w:widowControl/>
        <w:ind w:firstLineChars="0" w:firstLine="0"/>
        <w:jc w:val="left"/>
        <w:rPr>
          <w:rFonts w:ascii="宋体" w:eastAsia="宋体" w:hAnsi="宋体" w:cs="宋体"/>
          <w:kern w:val="0"/>
          <w:sz w:val="24"/>
          <w:szCs w:val="24"/>
        </w:rPr>
      </w:pPr>
      <w:r w:rsidRPr="00A150E3">
        <w:rPr>
          <w:rFonts w:ascii="宋体" w:eastAsia="宋体" w:hAnsi="宋体" w:cs="宋体"/>
          <w:b/>
          <w:bCs/>
          <w:kern w:val="0"/>
          <w:sz w:val="24"/>
          <w:szCs w:val="24"/>
          <w:bdr w:val="none" w:sz="0" w:space="0" w:color="auto" w:frame="1"/>
        </w:rPr>
        <w:t>三、依法认定单位犯罪及其责任人员</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lastRenderedPageBreak/>
        <w:t>20、涉互联网金融犯罪案件多以单位形式组织实施，所涉单位数量众多、层级复杂，其中还包括大量分支机构和关联单位，集团化特征明显。有的涉互联网金融犯罪案件中分支机构遍布全国，既有具备法人资格的，又有不具备法人资格的；既有受总公司直接领导的，又有受总公司的下属单位领导的。公安机关在立案时做法不一，有的对单位立案，有的不对单位立案，有的被立案的单位不具有独立法人资格，有的仅对最上层的单位立案而不对分支机构立案。对此，检察机关公诉部门在审查起诉时，应当从能够全面揭示犯罪行为基本特征、全面覆盖犯罪活动、准确界定区分各层级人员的地位作用、有利于有力指控犯罪、有利于追缴违法所得等方面依法具体把握，确定是否以单位犯罪追究。</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21、涉互联网金融犯罪所涉罪名中，刑法规定应当追究单位刑事责任的，对同时具备以下情形且具有独立法人资格的单位，可以以单位犯罪追究：</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（1）犯罪活动经单位决策实施；</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（2）单位的员工主要按照单位的决策实施具体犯罪活动；</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（3）违法所得归单位所有，经单位决策使用，收益亦归单位所有。但是，单位设立后专门从事违法犯罪活动的，应当以自然人犯罪追究刑事责任。</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22、对参与涉互联网金融犯罪，但不具有独立法人资格的分支机构，是否追究其刑事责任，可以区分两种情形处理：</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（1）全部或部分违法所得归分支机构所有并支配，分支机构作为单位犯罪主体追究刑事责任；</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（2）违法所得完全归分支机构上级单位所有并支配的，不能对分支机构作为单位犯罪主体追究刑事责任，而是应当对分支机构的上级单位（符合单位犯罪主体资格）追究刑事责任。</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23、分支机构认定为单位犯罪主体的，该分支机构相关涉案人员应当作为该分支机构的"直接负责的主管人员"或者"其他直接责任人员"追究刑事责任。仅将分支机构的上级单位认定为单位犯罪主体的，该分支机构相关涉案人员可以作为该上级单位的"其他直接责任人员"追究刑事责任。</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24、对符合追诉条件的分支机构（包括具有独立法人资格的和不具有独立法人资格）及其所属单位，公安机关均没有作为犯罪嫌疑单位移送审查起诉，仅将其所属单位的上级单位作为犯罪嫌疑单位移送审查起诉的，对相关分支机构涉案人员可以区分以下情形处理：</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lastRenderedPageBreak/>
        <w:t>（1）有证据证明被立案的上级单位（比如总公司）在业务、财务、人事等方面对下属单位及其分支机构进行实际控制，下属单位及其分支机构涉案人员可以作为被移送审查起诉的上级单位的"其他直接责任人员"追究刑事责任。在证明实际控制关系时，应当收集、运用公司决策、管理、考核等相关文件，OA 系统等电子数据，资金往来记录等证据。对不同地区同一单位的分支机构涉案人员起诉时，证明实际控制关系的证据体系、证明标准应基本一致。</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2）据现有证据无法证明被立案的上级单位与下属单位及其分支机构之间存在实际控制关系的，对符合单位犯罪构成要件的下属单位或分支机构应当补充起诉，下属单位及其分支机构已不具备补充起诉条件的，可以将下属单位及其分支机构的涉案犯罪嫌疑人直接起诉。</w:t>
      </w:r>
    </w:p>
    <w:p w:rsidR="00A150E3" w:rsidRPr="00A150E3" w:rsidRDefault="00A150E3" w:rsidP="00A150E3">
      <w:pPr>
        <w:widowControl/>
        <w:ind w:firstLineChars="0" w:firstLine="0"/>
        <w:jc w:val="left"/>
        <w:rPr>
          <w:rFonts w:ascii="宋体" w:eastAsia="宋体" w:hAnsi="宋体" w:cs="宋体"/>
          <w:kern w:val="0"/>
          <w:sz w:val="24"/>
          <w:szCs w:val="24"/>
        </w:rPr>
      </w:pPr>
      <w:r w:rsidRPr="00A150E3">
        <w:rPr>
          <w:rFonts w:ascii="宋体" w:eastAsia="宋体" w:hAnsi="宋体" w:cs="宋体"/>
          <w:b/>
          <w:bCs/>
          <w:kern w:val="0"/>
          <w:sz w:val="24"/>
          <w:szCs w:val="24"/>
          <w:bdr w:val="none" w:sz="0" w:space="0" w:color="auto" w:frame="1"/>
        </w:rPr>
        <w:t>四、综合运用定罪量刑情节</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25、在办理跨区域涉互联网金融犯罪案件时，在追诉标准、追诉范围以及量刑建议等方面应当注意统一平衡。对于同一单位在多个地区分别设立分支机构的，在同一省（自治区、直辖市）范围内应当保持基本一致。分支机构所涉犯罪嫌疑人与上级单位主要犯罪嫌疑人之间应当保持适度平衡，防止出现责任轻重"倒挂"的现象。</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26、单位犯罪中，直接负责的主管人员和其他直接责任人员在涉互联网金融犯罪案件中的地位、作用存在明显差别的，可以区分主犯和从犯。对起组织领导作用的总公司的直接负责的主管人员和发挥主要作用的其他直接责任人员，可以认定为全案的主犯，其他人员可以认定为从犯。</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27、最大限度减少投资人的实际损失是办理涉互联网金融犯罪案件特别是非法集资案件的重要工作。在决定是否起诉、提出量刑建议时，要重视对是否具有认罪认罚、主动退赃退赔等情节的考察。分支机构涉案人员积极配合调查、主动退还违法所得、真诚认罪悔罪的，应当依法提出从轻、减轻处罚的量刑建议。其中，对情节轻微、可以免予刑事处罚的，或者情节显著轻微、危害不大、不认为是犯罪的，应当依法</w:t>
      </w:r>
      <w:proofErr w:type="gramStart"/>
      <w:r w:rsidRPr="00A150E3">
        <w:rPr>
          <w:rFonts w:ascii="宋体" w:eastAsia="宋体" w:hAnsi="宋体" w:cs="宋体"/>
          <w:kern w:val="0"/>
          <w:sz w:val="24"/>
          <w:szCs w:val="24"/>
        </w:rPr>
        <w:t>作出</w:t>
      </w:r>
      <w:proofErr w:type="gramEnd"/>
      <w:r w:rsidRPr="00A150E3">
        <w:rPr>
          <w:rFonts w:ascii="宋体" w:eastAsia="宋体" w:hAnsi="宋体" w:cs="宋体"/>
          <w:kern w:val="0"/>
          <w:sz w:val="24"/>
          <w:szCs w:val="24"/>
        </w:rPr>
        <w:t>不起诉决定。对被不起诉人需要给予行政处罚或者没收违法所得的，应当向行政主管部门提出检察意见。</w:t>
      </w:r>
    </w:p>
    <w:p w:rsidR="00A150E3" w:rsidRPr="00A150E3" w:rsidRDefault="00A150E3" w:rsidP="00A150E3">
      <w:pPr>
        <w:widowControl/>
        <w:ind w:firstLineChars="0" w:firstLine="0"/>
        <w:jc w:val="left"/>
        <w:rPr>
          <w:rFonts w:ascii="宋体" w:eastAsia="宋体" w:hAnsi="宋体" w:cs="宋体"/>
          <w:kern w:val="0"/>
          <w:sz w:val="24"/>
          <w:szCs w:val="24"/>
        </w:rPr>
      </w:pPr>
      <w:r w:rsidRPr="00A150E3">
        <w:rPr>
          <w:rFonts w:ascii="宋体" w:eastAsia="宋体" w:hAnsi="宋体" w:cs="宋体"/>
          <w:b/>
          <w:bCs/>
          <w:kern w:val="0"/>
          <w:sz w:val="24"/>
          <w:szCs w:val="24"/>
          <w:bdr w:val="none" w:sz="0" w:space="0" w:color="auto" w:frame="1"/>
        </w:rPr>
        <w:t>五、证据的收集、审查与运用</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28、涉互联网金融犯罪案件证据种类复杂、数量庞大、且分散于各地，收集、审查、运用证据的难度大。各地检察机关公诉部门要紧紧围绕证据的真实性、合法性、关联性，引导公安机关依法全面收集固定证据，加强证据的审查、运用，确保案件事实经得起法律的检验。</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29、对于重大、疑难、复杂涉互联网金融犯罪案件，检察机关公诉部门要依法提前介入侦查，围绕指控犯罪的需要积极引导公安机关全面收集固定证据，必要时与公安机关共同会商，提出完善侦查思路、侦查提纲的意见建议。加强对侦查取</w:t>
      </w:r>
      <w:r w:rsidRPr="00A150E3">
        <w:rPr>
          <w:rFonts w:ascii="宋体" w:eastAsia="宋体" w:hAnsi="宋体" w:cs="宋体"/>
          <w:kern w:val="0"/>
          <w:sz w:val="24"/>
          <w:szCs w:val="24"/>
        </w:rPr>
        <w:lastRenderedPageBreak/>
        <w:t>证合法性的监督，对应当依法排除的非法证据坚决予以排除，对应当补正或</w:t>
      </w:r>
      <w:proofErr w:type="gramStart"/>
      <w:r w:rsidRPr="00A150E3">
        <w:rPr>
          <w:rFonts w:ascii="宋体" w:eastAsia="宋体" w:hAnsi="宋体" w:cs="宋体"/>
          <w:kern w:val="0"/>
          <w:sz w:val="24"/>
          <w:szCs w:val="24"/>
        </w:rPr>
        <w:t>作出</w:t>
      </w:r>
      <w:proofErr w:type="gramEnd"/>
      <w:r w:rsidRPr="00A150E3">
        <w:rPr>
          <w:rFonts w:ascii="宋体" w:eastAsia="宋体" w:hAnsi="宋体" w:cs="宋体"/>
          <w:kern w:val="0"/>
          <w:sz w:val="24"/>
          <w:szCs w:val="24"/>
        </w:rPr>
        <w:t>合理解释的及时提出意见。</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30、电子数据在涉互联网金融犯罪案件的证据体系中地位重要，对于指控证实相关犯罪事实具有重要作用。随着互联网技术的不断发展，电子数据的形式、载体出现了许多新的变化，对电子数据的勘验、提取、审查等提出了更高要求，处理不当会对电子数据的真实性、合法性造成不可逆转的损害。检察机关公诉部门要严格执行《最高人民法院、最高人民检察院、公安部关于办理刑事案件收集提取和审查判断电子数据问题的若干规定》（法发〔2016〕22 号），加强对电子数据收集、提取程序和技术标准的审查，确保电子数据的真实性、合法性。对云存储电子数据等新类型电子数据进行提取、审查时，要高度重视程序合法性、数据完整性等问题，必要时主动征求相关领域专家意见，在提取前会同公安机关、云存储服务提供商制定科学合法的提取方案，确保万无一失。</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31、落实"三统两分"要求，健全证据交换共享机制，协调推进跨区域案件办理。对涉及主案犯罪嫌疑人的证据，一般由主案侦办地办案机构负责收集，其他地区提供协助。其他地区办案机构需要主案侦办地提供证据材料的，应当向主案侦办地办案机构提出证据需求，由主案侦办地办案机构收集并依法移送。无法移送证据原件的，应当在移送复制件的同时，按照相关规定</w:t>
      </w:r>
      <w:proofErr w:type="gramStart"/>
      <w:r w:rsidRPr="00A150E3">
        <w:rPr>
          <w:rFonts w:ascii="宋体" w:eastAsia="宋体" w:hAnsi="宋体" w:cs="宋体"/>
          <w:kern w:val="0"/>
          <w:sz w:val="24"/>
          <w:szCs w:val="24"/>
        </w:rPr>
        <w:t>作出</w:t>
      </w:r>
      <w:proofErr w:type="gramEnd"/>
      <w:r w:rsidRPr="00A150E3">
        <w:rPr>
          <w:rFonts w:ascii="宋体" w:eastAsia="宋体" w:hAnsi="宋体" w:cs="宋体"/>
          <w:kern w:val="0"/>
          <w:sz w:val="24"/>
          <w:szCs w:val="24"/>
        </w:rPr>
        <w:t>说明。各地检察机关公诉部门之间要加强协作，加强与公安机关的协调，督促本地公安机关与其他地区公安机关做好证据交换共享相关工作。案件进入审查起诉阶段后，检察机关公诉部门可以根据案件需要，直接向其他地区检察机关调取证据，其他地区检察机关公诉部门应积极协助。此外，各地检察机关在办理案件过程中发现对其他地区案件办理有重要作用的证据，应当及时采取措施并通知相应检察机关，做好依法移送工作。</w:t>
      </w:r>
    </w:p>
    <w:p w:rsidR="00A150E3" w:rsidRPr="00A150E3" w:rsidRDefault="00A150E3" w:rsidP="00A150E3">
      <w:pPr>
        <w:widowControl/>
        <w:ind w:firstLineChars="0" w:firstLine="0"/>
        <w:jc w:val="left"/>
        <w:rPr>
          <w:rFonts w:ascii="宋体" w:eastAsia="宋体" w:hAnsi="宋体" w:cs="宋体"/>
          <w:kern w:val="0"/>
          <w:sz w:val="24"/>
          <w:szCs w:val="24"/>
        </w:rPr>
      </w:pPr>
      <w:r w:rsidRPr="00A150E3">
        <w:rPr>
          <w:rFonts w:ascii="宋体" w:eastAsia="宋体" w:hAnsi="宋体" w:cs="宋体"/>
          <w:b/>
          <w:bCs/>
          <w:kern w:val="0"/>
          <w:sz w:val="24"/>
          <w:szCs w:val="24"/>
          <w:bdr w:val="none" w:sz="0" w:space="0" w:color="auto" w:frame="1"/>
        </w:rPr>
        <w:t>六、投资人合法权益的保护</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32、涉互联网金融犯罪案件投资人诉求复杂多样，矛盾化解和维护稳定工作任务艰巨繁重，各地检察机关公诉部门在办案过程中要坚持刑事追诉和权益保护并重，根据《刑事诉讼法》等相关法律规定，依法保证互联网金融活动中投资人的合法权益，坚持把</w:t>
      </w:r>
      <w:proofErr w:type="gramStart"/>
      <w:r w:rsidRPr="00A150E3">
        <w:rPr>
          <w:rFonts w:ascii="宋体" w:eastAsia="宋体" w:hAnsi="宋体" w:cs="宋体"/>
          <w:kern w:val="0"/>
          <w:sz w:val="24"/>
          <w:szCs w:val="24"/>
        </w:rPr>
        <w:t>追赃挽损等</w:t>
      </w:r>
      <w:proofErr w:type="gramEnd"/>
      <w:r w:rsidRPr="00A150E3">
        <w:rPr>
          <w:rFonts w:ascii="宋体" w:eastAsia="宋体" w:hAnsi="宋体" w:cs="宋体"/>
          <w:kern w:val="0"/>
          <w:sz w:val="24"/>
          <w:szCs w:val="24"/>
        </w:rPr>
        <w:t>工作贯穿到侦查、起诉、审判各个环节，配合公安、法院等部门最大限度减少投资人的实际损失，加强与本院控申部门、公安机关的联系沟通，及时掌握涉案动态信息，认真开展办案风险评估预警工作，周密制定处置预案，并落实责任到位，避免因部门之间衔接不畅、处置不当造成工作被动。发现重大风险隐患的，及时向有关部门通报情况，必要时逐级上报高检院。</w:t>
      </w:r>
    </w:p>
    <w:p w:rsidR="00A150E3" w:rsidRPr="00A150E3" w:rsidRDefault="00A150E3" w:rsidP="00A150E3">
      <w:pPr>
        <w:widowControl/>
        <w:spacing w:before="151" w:after="432"/>
        <w:ind w:firstLineChars="0" w:firstLine="0"/>
        <w:jc w:val="left"/>
        <w:rPr>
          <w:rFonts w:ascii="宋体" w:eastAsia="宋体" w:hAnsi="宋体" w:cs="宋体"/>
          <w:kern w:val="0"/>
          <w:sz w:val="24"/>
          <w:szCs w:val="24"/>
        </w:rPr>
      </w:pPr>
      <w:r w:rsidRPr="00A150E3">
        <w:rPr>
          <w:rFonts w:ascii="宋体" w:eastAsia="宋体" w:hAnsi="宋体" w:cs="宋体"/>
          <w:kern w:val="0"/>
          <w:sz w:val="24"/>
          <w:szCs w:val="24"/>
        </w:rPr>
        <w:t>随着互联网金融的发展，涉互联网金融犯罪中的新情况、新问题还将不断出现，各地检察机关公诉部门要按照会议纪要的精神，结合各地办案实际，依法办理涉互联网金融犯罪案件；在办好案件的同时，要不断总结办案经验，加强对重大疑难复杂案件的研究，努力提高办理涉互联网金融犯罪案件的能力和水平，为促进互联网金融规范发展、保障经济社会大局稳定</w:t>
      </w:r>
      <w:proofErr w:type="gramStart"/>
      <w:r w:rsidRPr="00A150E3">
        <w:rPr>
          <w:rFonts w:ascii="宋体" w:eastAsia="宋体" w:hAnsi="宋体" w:cs="宋体"/>
          <w:kern w:val="0"/>
          <w:sz w:val="24"/>
          <w:szCs w:val="24"/>
        </w:rPr>
        <w:t>作出</w:t>
      </w:r>
      <w:proofErr w:type="gramEnd"/>
      <w:r w:rsidRPr="00A150E3">
        <w:rPr>
          <w:rFonts w:ascii="宋体" w:eastAsia="宋体" w:hAnsi="宋体" w:cs="宋体"/>
          <w:kern w:val="0"/>
          <w:sz w:val="24"/>
          <w:szCs w:val="24"/>
        </w:rPr>
        <w:t>积极贡献。在办案过程中遇到疑难问题的，要及时层报高检院公诉厅。</w:t>
      </w:r>
    </w:p>
    <w:p w:rsidR="00FD1111" w:rsidRPr="00A150E3" w:rsidRDefault="00FD1111" w:rsidP="00601476"/>
    <w:sectPr w:rsidR="00FD1111" w:rsidRPr="00A150E3">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50E3" w:rsidRDefault="00A150E3" w:rsidP="00A150E3">
      <w:r>
        <w:separator/>
      </w:r>
    </w:p>
  </w:endnote>
  <w:endnote w:type="continuationSeparator" w:id="0">
    <w:p w:rsidR="00A150E3" w:rsidRDefault="00A150E3" w:rsidP="00A150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Lohit Hindi">
    <w:altName w:val="MS Gothic"/>
    <w:charset w:val="80"/>
    <w:family w:val="auto"/>
    <w:pitch w:val="default"/>
  </w:font>
  <w:font w:name="华文仿宋">
    <w:panose1 w:val="02010600040101010101"/>
    <w:charset w:val="86"/>
    <w:family w:val="auto"/>
    <w:pitch w:val="variable"/>
    <w:sig w:usb0="00000287" w:usb1="080F0000" w:usb2="00000010" w:usb3="00000000" w:csb0="000400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50E3" w:rsidRDefault="00A150E3" w:rsidP="00A150E3">
    <w:pPr>
      <w:pStyle w:val="ae"/>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50E3" w:rsidRDefault="00A150E3" w:rsidP="00A150E3">
    <w:pPr>
      <w:pStyle w:val="ae"/>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50E3" w:rsidRDefault="00A150E3" w:rsidP="00A150E3">
    <w:pPr>
      <w:pStyle w:val="ae"/>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50E3" w:rsidRDefault="00A150E3" w:rsidP="00A150E3">
      <w:r>
        <w:separator/>
      </w:r>
    </w:p>
  </w:footnote>
  <w:footnote w:type="continuationSeparator" w:id="0">
    <w:p w:rsidR="00A150E3" w:rsidRDefault="00A150E3" w:rsidP="00A150E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50E3" w:rsidRDefault="00A150E3" w:rsidP="00A150E3">
    <w:pPr>
      <w:pStyle w:val="af"/>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50E3" w:rsidRDefault="00A150E3" w:rsidP="00A150E3">
    <w:pPr>
      <w:pStyle w:val="af"/>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50E3" w:rsidRDefault="00A150E3" w:rsidP="00A150E3">
    <w:pPr>
      <w:pStyle w:val="af"/>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auto"/>
        <w:spacing w:val="0"/>
        <w:w w:val="100"/>
        <w:position w:val="2"/>
        <w:sz w:val="16"/>
        <w:szCs w:val="16"/>
        <w:vertAlign w:val="baseli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nsid w:val="28532323"/>
    <w:multiLevelType w:val="multilevel"/>
    <w:tmpl w:val="F9BAF64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pStyle w:val="a"/>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4CC4"/>
    <w:rsid w:val="000027AB"/>
    <w:rsid w:val="00007951"/>
    <w:rsid w:val="00014DE2"/>
    <w:rsid w:val="00016E4B"/>
    <w:rsid w:val="00020A24"/>
    <w:rsid w:val="000233A2"/>
    <w:rsid w:val="0002413F"/>
    <w:rsid w:val="00025A8E"/>
    <w:rsid w:val="00034A4E"/>
    <w:rsid w:val="000362DF"/>
    <w:rsid w:val="000471F8"/>
    <w:rsid w:val="0005417D"/>
    <w:rsid w:val="00055A91"/>
    <w:rsid w:val="00061543"/>
    <w:rsid w:val="00063CDE"/>
    <w:rsid w:val="0006537A"/>
    <w:rsid w:val="00065C7F"/>
    <w:rsid w:val="00065D3B"/>
    <w:rsid w:val="0007007C"/>
    <w:rsid w:val="00075291"/>
    <w:rsid w:val="000763A6"/>
    <w:rsid w:val="00077B33"/>
    <w:rsid w:val="000811A0"/>
    <w:rsid w:val="00081D8B"/>
    <w:rsid w:val="00081E7F"/>
    <w:rsid w:val="000832C7"/>
    <w:rsid w:val="000834DD"/>
    <w:rsid w:val="00084BA6"/>
    <w:rsid w:val="000850EA"/>
    <w:rsid w:val="00090B0C"/>
    <w:rsid w:val="000943D9"/>
    <w:rsid w:val="00096024"/>
    <w:rsid w:val="00097CEE"/>
    <w:rsid w:val="000A06D5"/>
    <w:rsid w:val="000A492D"/>
    <w:rsid w:val="000A525D"/>
    <w:rsid w:val="000B39BB"/>
    <w:rsid w:val="000B685B"/>
    <w:rsid w:val="000C0DF8"/>
    <w:rsid w:val="000C2B6D"/>
    <w:rsid w:val="000D1A6C"/>
    <w:rsid w:val="000D2B03"/>
    <w:rsid w:val="000D336B"/>
    <w:rsid w:val="000D5139"/>
    <w:rsid w:val="000D6B81"/>
    <w:rsid w:val="000E3E5B"/>
    <w:rsid w:val="000F140B"/>
    <w:rsid w:val="000F4538"/>
    <w:rsid w:val="000F5502"/>
    <w:rsid w:val="000F5B89"/>
    <w:rsid w:val="00103253"/>
    <w:rsid w:val="00107E63"/>
    <w:rsid w:val="00112DFB"/>
    <w:rsid w:val="00120930"/>
    <w:rsid w:val="001323FC"/>
    <w:rsid w:val="00142552"/>
    <w:rsid w:val="00142553"/>
    <w:rsid w:val="00145D5F"/>
    <w:rsid w:val="00147682"/>
    <w:rsid w:val="00153A47"/>
    <w:rsid w:val="001560A5"/>
    <w:rsid w:val="00163D76"/>
    <w:rsid w:val="001724FE"/>
    <w:rsid w:val="00175A60"/>
    <w:rsid w:val="00181843"/>
    <w:rsid w:val="00184885"/>
    <w:rsid w:val="00186A42"/>
    <w:rsid w:val="00192190"/>
    <w:rsid w:val="001A0068"/>
    <w:rsid w:val="001A03AF"/>
    <w:rsid w:val="001A0C29"/>
    <w:rsid w:val="001A5120"/>
    <w:rsid w:val="001A5A12"/>
    <w:rsid w:val="001A5B6D"/>
    <w:rsid w:val="001C1DCF"/>
    <w:rsid w:val="001C4EE2"/>
    <w:rsid w:val="001C7CA8"/>
    <w:rsid w:val="001D27F7"/>
    <w:rsid w:val="001D5CD4"/>
    <w:rsid w:val="001E1AD7"/>
    <w:rsid w:val="001E27D6"/>
    <w:rsid w:val="001E34F5"/>
    <w:rsid w:val="001E4D74"/>
    <w:rsid w:val="001E6AEB"/>
    <w:rsid w:val="001E7EBD"/>
    <w:rsid w:val="001F0480"/>
    <w:rsid w:val="001F0738"/>
    <w:rsid w:val="001F330E"/>
    <w:rsid w:val="001F70EA"/>
    <w:rsid w:val="00205C17"/>
    <w:rsid w:val="00205C99"/>
    <w:rsid w:val="002143A6"/>
    <w:rsid w:val="002166DE"/>
    <w:rsid w:val="00217244"/>
    <w:rsid w:val="00230B23"/>
    <w:rsid w:val="002361B1"/>
    <w:rsid w:val="00236E3D"/>
    <w:rsid w:val="00241049"/>
    <w:rsid w:val="00245087"/>
    <w:rsid w:val="00246FCC"/>
    <w:rsid w:val="002550CF"/>
    <w:rsid w:val="002554CA"/>
    <w:rsid w:val="00256916"/>
    <w:rsid w:val="0026166B"/>
    <w:rsid w:val="0026224D"/>
    <w:rsid w:val="00271280"/>
    <w:rsid w:val="00276A19"/>
    <w:rsid w:val="0029736E"/>
    <w:rsid w:val="00297892"/>
    <w:rsid w:val="002A08BC"/>
    <w:rsid w:val="002A08F5"/>
    <w:rsid w:val="002A79AE"/>
    <w:rsid w:val="002B41C5"/>
    <w:rsid w:val="002B4CA8"/>
    <w:rsid w:val="002B6318"/>
    <w:rsid w:val="002B66BF"/>
    <w:rsid w:val="002C42BF"/>
    <w:rsid w:val="002D66C9"/>
    <w:rsid w:val="002E0838"/>
    <w:rsid w:val="002E0A4F"/>
    <w:rsid w:val="002E5A17"/>
    <w:rsid w:val="002E5E1A"/>
    <w:rsid w:val="002F002B"/>
    <w:rsid w:val="002F1C89"/>
    <w:rsid w:val="002F324E"/>
    <w:rsid w:val="002F3B69"/>
    <w:rsid w:val="002F707A"/>
    <w:rsid w:val="003012E0"/>
    <w:rsid w:val="003017F2"/>
    <w:rsid w:val="00310F5C"/>
    <w:rsid w:val="0031607D"/>
    <w:rsid w:val="00321EEA"/>
    <w:rsid w:val="00324DDA"/>
    <w:rsid w:val="003265A6"/>
    <w:rsid w:val="003335A8"/>
    <w:rsid w:val="003358FA"/>
    <w:rsid w:val="003427BD"/>
    <w:rsid w:val="003470AD"/>
    <w:rsid w:val="003532DE"/>
    <w:rsid w:val="003562E4"/>
    <w:rsid w:val="003614C3"/>
    <w:rsid w:val="0036233B"/>
    <w:rsid w:val="00366340"/>
    <w:rsid w:val="00366C1C"/>
    <w:rsid w:val="003811D8"/>
    <w:rsid w:val="00384380"/>
    <w:rsid w:val="003865A7"/>
    <w:rsid w:val="00394D74"/>
    <w:rsid w:val="003A538F"/>
    <w:rsid w:val="003A6F4D"/>
    <w:rsid w:val="003B2C91"/>
    <w:rsid w:val="003B3B19"/>
    <w:rsid w:val="003B6457"/>
    <w:rsid w:val="003B6F91"/>
    <w:rsid w:val="003B7071"/>
    <w:rsid w:val="003B70BE"/>
    <w:rsid w:val="003C50F5"/>
    <w:rsid w:val="003C798A"/>
    <w:rsid w:val="003D4DCC"/>
    <w:rsid w:val="003D54E2"/>
    <w:rsid w:val="003E1BC1"/>
    <w:rsid w:val="003E3D6A"/>
    <w:rsid w:val="003E58AB"/>
    <w:rsid w:val="003E7E93"/>
    <w:rsid w:val="003F1181"/>
    <w:rsid w:val="003F4856"/>
    <w:rsid w:val="003F49D0"/>
    <w:rsid w:val="003F5397"/>
    <w:rsid w:val="00401D82"/>
    <w:rsid w:val="004022E4"/>
    <w:rsid w:val="004042E8"/>
    <w:rsid w:val="00404F88"/>
    <w:rsid w:val="0040654A"/>
    <w:rsid w:val="00406F5A"/>
    <w:rsid w:val="00412EC8"/>
    <w:rsid w:val="0041659F"/>
    <w:rsid w:val="004254E8"/>
    <w:rsid w:val="00432FBA"/>
    <w:rsid w:val="00433E71"/>
    <w:rsid w:val="00434B2C"/>
    <w:rsid w:val="004428C7"/>
    <w:rsid w:val="004443E5"/>
    <w:rsid w:val="00446BB5"/>
    <w:rsid w:val="00451A0E"/>
    <w:rsid w:val="00453A8B"/>
    <w:rsid w:val="00454392"/>
    <w:rsid w:val="00454E38"/>
    <w:rsid w:val="00463879"/>
    <w:rsid w:val="00465FD0"/>
    <w:rsid w:val="00467290"/>
    <w:rsid w:val="00470A5A"/>
    <w:rsid w:val="00471721"/>
    <w:rsid w:val="00475708"/>
    <w:rsid w:val="0048716C"/>
    <w:rsid w:val="00487AAB"/>
    <w:rsid w:val="004900BC"/>
    <w:rsid w:val="0049742C"/>
    <w:rsid w:val="004B01CF"/>
    <w:rsid w:val="004C1B08"/>
    <w:rsid w:val="004C2E52"/>
    <w:rsid w:val="004C51AB"/>
    <w:rsid w:val="004C72B1"/>
    <w:rsid w:val="004D0344"/>
    <w:rsid w:val="004D3927"/>
    <w:rsid w:val="004D5C23"/>
    <w:rsid w:val="004D79F0"/>
    <w:rsid w:val="004E031D"/>
    <w:rsid w:val="004E129B"/>
    <w:rsid w:val="004E1330"/>
    <w:rsid w:val="004E3129"/>
    <w:rsid w:val="004E740A"/>
    <w:rsid w:val="004E7D86"/>
    <w:rsid w:val="004F5B3F"/>
    <w:rsid w:val="00510C09"/>
    <w:rsid w:val="005124B9"/>
    <w:rsid w:val="00513BD1"/>
    <w:rsid w:val="00521D30"/>
    <w:rsid w:val="00523A49"/>
    <w:rsid w:val="0052488C"/>
    <w:rsid w:val="00527DDF"/>
    <w:rsid w:val="00530413"/>
    <w:rsid w:val="005318A5"/>
    <w:rsid w:val="00534828"/>
    <w:rsid w:val="005368E2"/>
    <w:rsid w:val="00536D8C"/>
    <w:rsid w:val="0054293B"/>
    <w:rsid w:val="00543CC4"/>
    <w:rsid w:val="005459B4"/>
    <w:rsid w:val="00546718"/>
    <w:rsid w:val="00553C48"/>
    <w:rsid w:val="00554C60"/>
    <w:rsid w:val="00557A57"/>
    <w:rsid w:val="00560D8B"/>
    <w:rsid w:val="00561235"/>
    <w:rsid w:val="00561E9A"/>
    <w:rsid w:val="00566077"/>
    <w:rsid w:val="005664B9"/>
    <w:rsid w:val="005701A2"/>
    <w:rsid w:val="005725BA"/>
    <w:rsid w:val="0057372A"/>
    <w:rsid w:val="00576D8D"/>
    <w:rsid w:val="00583A88"/>
    <w:rsid w:val="0058561E"/>
    <w:rsid w:val="005858DF"/>
    <w:rsid w:val="00587B3A"/>
    <w:rsid w:val="00591EFF"/>
    <w:rsid w:val="00597833"/>
    <w:rsid w:val="005A1AD5"/>
    <w:rsid w:val="005A7D16"/>
    <w:rsid w:val="005B05A7"/>
    <w:rsid w:val="005B0782"/>
    <w:rsid w:val="005B37E9"/>
    <w:rsid w:val="005B4D78"/>
    <w:rsid w:val="005C1D57"/>
    <w:rsid w:val="005C274C"/>
    <w:rsid w:val="005C363C"/>
    <w:rsid w:val="005C3DB6"/>
    <w:rsid w:val="005C5F75"/>
    <w:rsid w:val="005D0588"/>
    <w:rsid w:val="005D2CE9"/>
    <w:rsid w:val="005D4717"/>
    <w:rsid w:val="005D502E"/>
    <w:rsid w:val="005E02A3"/>
    <w:rsid w:val="005E0C04"/>
    <w:rsid w:val="005E6D80"/>
    <w:rsid w:val="005F0C99"/>
    <w:rsid w:val="005F0EFF"/>
    <w:rsid w:val="005F2391"/>
    <w:rsid w:val="00600F0C"/>
    <w:rsid w:val="00601476"/>
    <w:rsid w:val="006020BE"/>
    <w:rsid w:val="0060558C"/>
    <w:rsid w:val="006116F6"/>
    <w:rsid w:val="006127DC"/>
    <w:rsid w:val="00614330"/>
    <w:rsid w:val="006145D9"/>
    <w:rsid w:val="00616840"/>
    <w:rsid w:val="00617A0D"/>
    <w:rsid w:val="00620B8F"/>
    <w:rsid w:val="006222F6"/>
    <w:rsid w:val="00633CF3"/>
    <w:rsid w:val="00642AEB"/>
    <w:rsid w:val="00642CA3"/>
    <w:rsid w:val="006440BC"/>
    <w:rsid w:val="00647A4D"/>
    <w:rsid w:val="006539C6"/>
    <w:rsid w:val="00655596"/>
    <w:rsid w:val="00657845"/>
    <w:rsid w:val="00662E4C"/>
    <w:rsid w:val="00670D49"/>
    <w:rsid w:val="00676E4A"/>
    <w:rsid w:val="00683997"/>
    <w:rsid w:val="006845E4"/>
    <w:rsid w:val="0068598B"/>
    <w:rsid w:val="00685EAD"/>
    <w:rsid w:val="006907DB"/>
    <w:rsid w:val="00690F86"/>
    <w:rsid w:val="00690F96"/>
    <w:rsid w:val="00692F7B"/>
    <w:rsid w:val="00694CAF"/>
    <w:rsid w:val="00694DD1"/>
    <w:rsid w:val="006A11E1"/>
    <w:rsid w:val="006A6DA6"/>
    <w:rsid w:val="006A6EE3"/>
    <w:rsid w:val="006B4A37"/>
    <w:rsid w:val="006B6099"/>
    <w:rsid w:val="006B7415"/>
    <w:rsid w:val="006C1155"/>
    <w:rsid w:val="006C14BD"/>
    <w:rsid w:val="006C2564"/>
    <w:rsid w:val="006C2E5B"/>
    <w:rsid w:val="006D163D"/>
    <w:rsid w:val="006D5534"/>
    <w:rsid w:val="006E2B51"/>
    <w:rsid w:val="006E5462"/>
    <w:rsid w:val="00702431"/>
    <w:rsid w:val="00712EA0"/>
    <w:rsid w:val="00714F14"/>
    <w:rsid w:val="00715ED1"/>
    <w:rsid w:val="0072117A"/>
    <w:rsid w:val="007239AF"/>
    <w:rsid w:val="00733D59"/>
    <w:rsid w:val="00737979"/>
    <w:rsid w:val="00741E71"/>
    <w:rsid w:val="007424B0"/>
    <w:rsid w:val="00743349"/>
    <w:rsid w:val="007514D7"/>
    <w:rsid w:val="00751CCD"/>
    <w:rsid w:val="00753277"/>
    <w:rsid w:val="007647E9"/>
    <w:rsid w:val="00764941"/>
    <w:rsid w:val="00764D06"/>
    <w:rsid w:val="00770CA7"/>
    <w:rsid w:val="00771040"/>
    <w:rsid w:val="007903E0"/>
    <w:rsid w:val="00792338"/>
    <w:rsid w:val="0079262C"/>
    <w:rsid w:val="00795F4C"/>
    <w:rsid w:val="007A5C50"/>
    <w:rsid w:val="007A5CE0"/>
    <w:rsid w:val="007A7199"/>
    <w:rsid w:val="007B0416"/>
    <w:rsid w:val="007B3BC8"/>
    <w:rsid w:val="007B58D0"/>
    <w:rsid w:val="007B5DF5"/>
    <w:rsid w:val="007C0B46"/>
    <w:rsid w:val="007D0C74"/>
    <w:rsid w:val="007D4630"/>
    <w:rsid w:val="007D734F"/>
    <w:rsid w:val="007E1CAD"/>
    <w:rsid w:val="007E1ECB"/>
    <w:rsid w:val="007E6E29"/>
    <w:rsid w:val="007F1D3D"/>
    <w:rsid w:val="007F398E"/>
    <w:rsid w:val="007F4290"/>
    <w:rsid w:val="007F4E84"/>
    <w:rsid w:val="007F6362"/>
    <w:rsid w:val="007F78EB"/>
    <w:rsid w:val="008012A6"/>
    <w:rsid w:val="00802E6A"/>
    <w:rsid w:val="00822FE5"/>
    <w:rsid w:val="00823AB4"/>
    <w:rsid w:val="00827F2F"/>
    <w:rsid w:val="00833AEF"/>
    <w:rsid w:val="00840271"/>
    <w:rsid w:val="00845F81"/>
    <w:rsid w:val="0085107B"/>
    <w:rsid w:val="00857D17"/>
    <w:rsid w:val="00860230"/>
    <w:rsid w:val="0086394F"/>
    <w:rsid w:val="00867087"/>
    <w:rsid w:val="00876130"/>
    <w:rsid w:val="008762E5"/>
    <w:rsid w:val="00877DF8"/>
    <w:rsid w:val="0089712F"/>
    <w:rsid w:val="008A0D08"/>
    <w:rsid w:val="008A41E6"/>
    <w:rsid w:val="008A628F"/>
    <w:rsid w:val="008A763B"/>
    <w:rsid w:val="008B3EAF"/>
    <w:rsid w:val="008C0C10"/>
    <w:rsid w:val="008F12BA"/>
    <w:rsid w:val="008F57A6"/>
    <w:rsid w:val="00901F87"/>
    <w:rsid w:val="00902C39"/>
    <w:rsid w:val="00903D93"/>
    <w:rsid w:val="00904898"/>
    <w:rsid w:val="009054CC"/>
    <w:rsid w:val="0090627F"/>
    <w:rsid w:val="00906E01"/>
    <w:rsid w:val="00906F15"/>
    <w:rsid w:val="009072E6"/>
    <w:rsid w:val="009135C4"/>
    <w:rsid w:val="00913B71"/>
    <w:rsid w:val="009148A5"/>
    <w:rsid w:val="009208E1"/>
    <w:rsid w:val="009242BC"/>
    <w:rsid w:val="009323D0"/>
    <w:rsid w:val="00933A41"/>
    <w:rsid w:val="00934356"/>
    <w:rsid w:val="00934F72"/>
    <w:rsid w:val="009356AE"/>
    <w:rsid w:val="009358CF"/>
    <w:rsid w:val="009416F4"/>
    <w:rsid w:val="00946ED7"/>
    <w:rsid w:val="009545FE"/>
    <w:rsid w:val="0095628D"/>
    <w:rsid w:val="00960657"/>
    <w:rsid w:val="00974511"/>
    <w:rsid w:val="0097754F"/>
    <w:rsid w:val="00982722"/>
    <w:rsid w:val="00985FA3"/>
    <w:rsid w:val="0098756A"/>
    <w:rsid w:val="009A49DB"/>
    <w:rsid w:val="009B383C"/>
    <w:rsid w:val="009B495C"/>
    <w:rsid w:val="009C31F5"/>
    <w:rsid w:val="009E03DB"/>
    <w:rsid w:val="009E246C"/>
    <w:rsid w:val="009E302B"/>
    <w:rsid w:val="009F073A"/>
    <w:rsid w:val="009F3AB2"/>
    <w:rsid w:val="009F5116"/>
    <w:rsid w:val="009F6421"/>
    <w:rsid w:val="00A003AC"/>
    <w:rsid w:val="00A119DA"/>
    <w:rsid w:val="00A150E3"/>
    <w:rsid w:val="00A23461"/>
    <w:rsid w:val="00A2721F"/>
    <w:rsid w:val="00A30AC8"/>
    <w:rsid w:val="00A33C1C"/>
    <w:rsid w:val="00A34FBB"/>
    <w:rsid w:val="00A45EAA"/>
    <w:rsid w:val="00A45F20"/>
    <w:rsid w:val="00A475BE"/>
    <w:rsid w:val="00A54135"/>
    <w:rsid w:val="00A56F9A"/>
    <w:rsid w:val="00A573D6"/>
    <w:rsid w:val="00A60754"/>
    <w:rsid w:val="00A66BF6"/>
    <w:rsid w:val="00A671D4"/>
    <w:rsid w:val="00A70268"/>
    <w:rsid w:val="00A702A8"/>
    <w:rsid w:val="00A70F5A"/>
    <w:rsid w:val="00A8061E"/>
    <w:rsid w:val="00A813D5"/>
    <w:rsid w:val="00A82CBF"/>
    <w:rsid w:val="00A8576F"/>
    <w:rsid w:val="00A87282"/>
    <w:rsid w:val="00A87A77"/>
    <w:rsid w:val="00A87E3A"/>
    <w:rsid w:val="00A928CA"/>
    <w:rsid w:val="00A93BB8"/>
    <w:rsid w:val="00A94A4A"/>
    <w:rsid w:val="00AA7070"/>
    <w:rsid w:val="00AB0E77"/>
    <w:rsid w:val="00AB4629"/>
    <w:rsid w:val="00AC08FA"/>
    <w:rsid w:val="00AC296A"/>
    <w:rsid w:val="00AD2D90"/>
    <w:rsid w:val="00AD6F8A"/>
    <w:rsid w:val="00AD728D"/>
    <w:rsid w:val="00AE0C26"/>
    <w:rsid w:val="00AE43F3"/>
    <w:rsid w:val="00AE77F1"/>
    <w:rsid w:val="00AF7C49"/>
    <w:rsid w:val="00B1575F"/>
    <w:rsid w:val="00B16242"/>
    <w:rsid w:val="00B26BAC"/>
    <w:rsid w:val="00B336D2"/>
    <w:rsid w:val="00B438EE"/>
    <w:rsid w:val="00B4572D"/>
    <w:rsid w:val="00B513D0"/>
    <w:rsid w:val="00B6105F"/>
    <w:rsid w:val="00B616EB"/>
    <w:rsid w:val="00B6639E"/>
    <w:rsid w:val="00B6669F"/>
    <w:rsid w:val="00B75859"/>
    <w:rsid w:val="00B76053"/>
    <w:rsid w:val="00B8189F"/>
    <w:rsid w:val="00B9310F"/>
    <w:rsid w:val="00B93708"/>
    <w:rsid w:val="00B94BF7"/>
    <w:rsid w:val="00B95355"/>
    <w:rsid w:val="00BA10D6"/>
    <w:rsid w:val="00BA1A00"/>
    <w:rsid w:val="00BA4DA3"/>
    <w:rsid w:val="00BA6D1B"/>
    <w:rsid w:val="00BB03D9"/>
    <w:rsid w:val="00BB0895"/>
    <w:rsid w:val="00BB1875"/>
    <w:rsid w:val="00BB2AF4"/>
    <w:rsid w:val="00BB3127"/>
    <w:rsid w:val="00BB529B"/>
    <w:rsid w:val="00BC2D3C"/>
    <w:rsid w:val="00BC3313"/>
    <w:rsid w:val="00BC3AC0"/>
    <w:rsid w:val="00BD4B2E"/>
    <w:rsid w:val="00BE4CC4"/>
    <w:rsid w:val="00BE60D2"/>
    <w:rsid w:val="00BF3438"/>
    <w:rsid w:val="00BF4D91"/>
    <w:rsid w:val="00BF5A60"/>
    <w:rsid w:val="00BF610E"/>
    <w:rsid w:val="00C059A6"/>
    <w:rsid w:val="00C06005"/>
    <w:rsid w:val="00C118AC"/>
    <w:rsid w:val="00C16827"/>
    <w:rsid w:val="00C178A3"/>
    <w:rsid w:val="00C231B2"/>
    <w:rsid w:val="00C2451C"/>
    <w:rsid w:val="00C25B64"/>
    <w:rsid w:val="00C34A8E"/>
    <w:rsid w:val="00C44A60"/>
    <w:rsid w:val="00C47EA1"/>
    <w:rsid w:val="00C508D0"/>
    <w:rsid w:val="00C51E19"/>
    <w:rsid w:val="00C566F6"/>
    <w:rsid w:val="00C617D4"/>
    <w:rsid w:val="00C62E8F"/>
    <w:rsid w:val="00C67142"/>
    <w:rsid w:val="00C7127B"/>
    <w:rsid w:val="00C71652"/>
    <w:rsid w:val="00C746D5"/>
    <w:rsid w:val="00C75BEF"/>
    <w:rsid w:val="00C83354"/>
    <w:rsid w:val="00C83C44"/>
    <w:rsid w:val="00C83CC1"/>
    <w:rsid w:val="00C83FEC"/>
    <w:rsid w:val="00C87C7B"/>
    <w:rsid w:val="00C93F31"/>
    <w:rsid w:val="00C96348"/>
    <w:rsid w:val="00CA19C6"/>
    <w:rsid w:val="00CB196F"/>
    <w:rsid w:val="00CB206F"/>
    <w:rsid w:val="00CB5442"/>
    <w:rsid w:val="00CB7855"/>
    <w:rsid w:val="00CC4FA4"/>
    <w:rsid w:val="00CC55EA"/>
    <w:rsid w:val="00CC5D22"/>
    <w:rsid w:val="00CD0F9F"/>
    <w:rsid w:val="00CD18F0"/>
    <w:rsid w:val="00CD30D1"/>
    <w:rsid w:val="00CD620E"/>
    <w:rsid w:val="00CE2B18"/>
    <w:rsid w:val="00CE5E0A"/>
    <w:rsid w:val="00CF5991"/>
    <w:rsid w:val="00CF5DDC"/>
    <w:rsid w:val="00D034E4"/>
    <w:rsid w:val="00D11BB5"/>
    <w:rsid w:val="00D14B79"/>
    <w:rsid w:val="00D16C58"/>
    <w:rsid w:val="00D201DD"/>
    <w:rsid w:val="00D21C5F"/>
    <w:rsid w:val="00D25ECE"/>
    <w:rsid w:val="00D30D2E"/>
    <w:rsid w:val="00D43CC1"/>
    <w:rsid w:val="00D52BE9"/>
    <w:rsid w:val="00D535CD"/>
    <w:rsid w:val="00D53784"/>
    <w:rsid w:val="00D54879"/>
    <w:rsid w:val="00D56B13"/>
    <w:rsid w:val="00D6027D"/>
    <w:rsid w:val="00D60980"/>
    <w:rsid w:val="00D64BF7"/>
    <w:rsid w:val="00D66D10"/>
    <w:rsid w:val="00D67B20"/>
    <w:rsid w:val="00D714EC"/>
    <w:rsid w:val="00D71D36"/>
    <w:rsid w:val="00D749B1"/>
    <w:rsid w:val="00D8007A"/>
    <w:rsid w:val="00D8227D"/>
    <w:rsid w:val="00D83041"/>
    <w:rsid w:val="00D84CB3"/>
    <w:rsid w:val="00D86DB5"/>
    <w:rsid w:val="00D87F9F"/>
    <w:rsid w:val="00D9150F"/>
    <w:rsid w:val="00D94BDA"/>
    <w:rsid w:val="00D96975"/>
    <w:rsid w:val="00DA042D"/>
    <w:rsid w:val="00DA0A29"/>
    <w:rsid w:val="00DA496D"/>
    <w:rsid w:val="00DB280C"/>
    <w:rsid w:val="00DC0391"/>
    <w:rsid w:val="00DC1AEE"/>
    <w:rsid w:val="00DC37FE"/>
    <w:rsid w:val="00DC62E6"/>
    <w:rsid w:val="00DD3308"/>
    <w:rsid w:val="00DD78FC"/>
    <w:rsid w:val="00DE1B6D"/>
    <w:rsid w:val="00DE59F9"/>
    <w:rsid w:val="00DE69B5"/>
    <w:rsid w:val="00DE72C2"/>
    <w:rsid w:val="00DF16AF"/>
    <w:rsid w:val="00DF4FB7"/>
    <w:rsid w:val="00E00C51"/>
    <w:rsid w:val="00E03BA9"/>
    <w:rsid w:val="00E07196"/>
    <w:rsid w:val="00E11E18"/>
    <w:rsid w:val="00E12D0C"/>
    <w:rsid w:val="00E14215"/>
    <w:rsid w:val="00E32CCE"/>
    <w:rsid w:val="00E33A00"/>
    <w:rsid w:val="00E34516"/>
    <w:rsid w:val="00E364D7"/>
    <w:rsid w:val="00E364E1"/>
    <w:rsid w:val="00E40A97"/>
    <w:rsid w:val="00E40C00"/>
    <w:rsid w:val="00E42FCB"/>
    <w:rsid w:val="00E449DF"/>
    <w:rsid w:val="00E511D5"/>
    <w:rsid w:val="00E53B73"/>
    <w:rsid w:val="00E55E5F"/>
    <w:rsid w:val="00E57FF1"/>
    <w:rsid w:val="00E601AD"/>
    <w:rsid w:val="00E6590E"/>
    <w:rsid w:val="00E71D2D"/>
    <w:rsid w:val="00E71F78"/>
    <w:rsid w:val="00E822F2"/>
    <w:rsid w:val="00E845BC"/>
    <w:rsid w:val="00E8674D"/>
    <w:rsid w:val="00E91F5D"/>
    <w:rsid w:val="00E92198"/>
    <w:rsid w:val="00E9228C"/>
    <w:rsid w:val="00E93160"/>
    <w:rsid w:val="00E93725"/>
    <w:rsid w:val="00EA6508"/>
    <w:rsid w:val="00EB3B16"/>
    <w:rsid w:val="00EB3DFF"/>
    <w:rsid w:val="00EB3EFB"/>
    <w:rsid w:val="00EB4AD3"/>
    <w:rsid w:val="00EB7DCB"/>
    <w:rsid w:val="00EC06FB"/>
    <w:rsid w:val="00EC0B2A"/>
    <w:rsid w:val="00EC3B5D"/>
    <w:rsid w:val="00EC53C8"/>
    <w:rsid w:val="00EC7649"/>
    <w:rsid w:val="00EC7AF7"/>
    <w:rsid w:val="00EE1920"/>
    <w:rsid w:val="00EE7619"/>
    <w:rsid w:val="00EF0F35"/>
    <w:rsid w:val="00EF5544"/>
    <w:rsid w:val="00EF7464"/>
    <w:rsid w:val="00F01410"/>
    <w:rsid w:val="00F03D50"/>
    <w:rsid w:val="00F05153"/>
    <w:rsid w:val="00F06C26"/>
    <w:rsid w:val="00F0785E"/>
    <w:rsid w:val="00F1661E"/>
    <w:rsid w:val="00F1692D"/>
    <w:rsid w:val="00F17402"/>
    <w:rsid w:val="00F22238"/>
    <w:rsid w:val="00F222C2"/>
    <w:rsid w:val="00F2370E"/>
    <w:rsid w:val="00F248F7"/>
    <w:rsid w:val="00F472B5"/>
    <w:rsid w:val="00F540F8"/>
    <w:rsid w:val="00F54CAF"/>
    <w:rsid w:val="00F55C36"/>
    <w:rsid w:val="00F56827"/>
    <w:rsid w:val="00F607EA"/>
    <w:rsid w:val="00F616E2"/>
    <w:rsid w:val="00F63421"/>
    <w:rsid w:val="00F71AF3"/>
    <w:rsid w:val="00F7738A"/>
    <w:rsid w:val="00F83E0B"/>
    <w:rsid w:val="00F84FE2"/>
    <w:rsid w:val="00F85BA6"/>
    <w:rsid w:val="00F85E76"/>
    <w:rsid w:val="00F86FDD"/>
    <w:rsid w:val="00F90482"/>
    <w:rsid w:val="00F90D1C"/>
    <w:rsid w:val="00F9316A"/>
    <w:rsid w:val="00F95E0F"/>
    <w:rsid w:val="00FA193B"/>
    <w:rsid w:val="00FA4F2F"/>
    <w:rsid w:val="00FA5AF7"/>
    <w:rsid w:val="00FA6EEE"/>
    <w:rsid w:val="00FB5B1D"/>
    <w:rsid w:val="00FC0006"/>
    <w:rsid w:val="00FC35D0"/>
    <w:rsid w:val="00FD06D1"/>
    <w:rsid w:val="00FD1111"/>
    <w:rsid w:val="00FD19F2"/>
    <w:rsid w:val="00FD47FA"/>
    <w:rsid w:val="00FD5189"/>
    <w:rsid w:val="00FD554B"/>
    <w:rsid w:val="00FD71BB"/>
    <w:rsid w:val="00FE6DDF"/>
    <w:rsid w:val="00FF0470"/>
    <w:rsid w:val="00FF262D"/>
    <w:rsid w:val="00FF5DD2"/>
    <w:rsid w:val="00FF5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uiPriority w:val="22"/>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 w:type="character" w:customStyle="1" w:styleId="time">
    <w:name w:val="time"/>
    <w:basedOn w:val="a1"/>
    <w:rsid w:val="00A150E3"/>
  </w:style>
  <w:style w:type="paragraph" w:styleId="af4">
    <w:name w:val="Normal (Web)"/>
    <w:basedOn w:val="a0"/>
    <w:uiPriority w:val="99"/>
    <w:semiHidden/>
    <w:unhideWhenUsed/>
    <w:rsid w:val="00A150E3"/>
    <w:pPr>
      <w:widowControl/>
      <w:spacing w:before="100" w:beforeAutospacing="1" w:after="100" w:afterAutospacing="1"/>
      <w:ind w:firstLineChars="0" w:firstLine="0"/>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uiPriority w:val="22"/>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 w:type="character" w:customStyle="1" w:styleId="time">
    <w:name w:val="time"/>
    <w:basedOn w:val="a1"/>
    <w:rsid w:val="00A150E3"/>
  </w:style>
  <w:style w:type="paragraph" w:styleId="af4">
    <w:name w:val="Normal (Web)"/>
    <w:basedOn w:val="a0"/>
    <w:uiPriority w:val="99"/>
    <w:semiHidden/>
    <w:unhideWhenUsed/>
    <w:rsid w:val="00A150E3"/>
    <w:pPr>
      <w:widowControl/>
      <w:spacing w:before="100" w:beforeAutospacing="1" w:after="100" w:afterAutospacing="1"/>
      <w:ind w:firstLineChars="0" w:firstLine="0"/>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0076050">
      <w:bodyDiv w:val="1"/>
      <w:marLeft w:val="0"/>
      <w:marRight w:val="0"/>
      <w:marTop w:val="0"/>
      <w:marBottom w:val="0"/>
      <w:divBdr>
        <w:top w:val="none" w:sz="0" w:space="0" w:color="auto"/>
        <w:left w:val="none" w:sz="0" w:space="0" w:color="auto"/>
        <w:bottom w:val="none" w:sz="0" w:space="0" w:color="auto"/>
        <w:right w:val="none" w:sz="0" w:space="0" w:color="auto"/>
      </w:divBdr>
      <w:divsChild>
        <w:div w:id="177160161">
          <w:marLeft w:val="0"/>
          <w:marRight w:val="0"/>
          <w:marTop w:val="0"/>
          <w:marBottom w:val="0"/>
          <w:divBdr>
            <w:top w:val="none" w:sz="0" w:space="0" w:color="auto"/>
            <w:left w:val="none" w:sz="0" w:space="0" w:color="auto"/>
            <w:bottom w:val="none" w:sz="0" w:space="0" w:color="auto"/>
            <w:right w:val="none" w:sz="0" w:space="0" w:color="auto"/>
          </w:divBdr>
          <w:divsChild>
            <w:div w:id="159189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1397</Words>
  <Characters>7965</Characters>
  <Application>Microsoft Office Word</Application>
  <DocSecurity>0</DocSecurity>
  <Lines>66</Lines>
  <Paragraphs>18</Paragraphs>
  <ScaleCrop>false</ScaleCrop>
  <Company/>
  <LinksUpToDate>false</LinksUpToDate>
  <CharactersWithSpaces>9344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huifu</dc:creator>
  <cp:keywords/>
  <dc:description/>
  <cp:lastModifiedBy>huifu</cp:lastModifiedBy>
  <cp:revision>2</cp:revision>
  <dcterms:created xsi:type="dcterms:W3CDTF">2022-03-08T14:24:00Z</dcterms:created>
  <dcterms:modified xsi:type="dcterms:W3CDTF">2022-03-08T14:24:00Z</dcterms:modified>
</cp:coreProperties>
</file>