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96" w:lineRule="exact"/>
        <w:jc w:val="center"/>
        <w:rPr>
          <w:rFonts w:ascii="Times New Roman" w:hAnsi="Times New Roman" w:eastAsia="华文中宋" w:cs="Times New Roman"/>
          <w:b/>
          <w:bCs/>
          <w:sz w:val="44"/>
          <w:szCs w:val="44"/>
        </w:rPr>
      </w:pPr>
      <w:r>
        <w:rPr>
          <w:rFonts w:hint="eastAsia" w:ascii="Times New Roman" w:hAnsi="Times New Roman" w:eastAsia="华文中宋" w:cs="Times New Roman"/>
          <w:b/>
          <w:bCs/>
          <w:sz w:val="44"/>
          <w:szCs w:val="44"/>
        </w:rPr>
        <w:t>杭州互联网</w:t>
      </w:r>
      <w:r>
        <w:rPr>
          <w:rFonts w:ascii="Times New Roman" w:hAnsi="Times New Roman" w:eastAsia="华文中宋" w:cs="Times New Roman"/>
          <w:b/>
          <w:bCs/>
          <w:sz w:val="44"/>
          <w:szCs w:val="44"/>
        </w:rPr>
        <w:t>法院</w:t>
      </w:r>
      <w:r>
        <w:rPr>
          <w:rFonts w:hint="eastAsia" w:ascii="Times New Roman" w:hAnsi="Times New Roman" w:eastAsia="华文中宋" w:cs="Times New Roman"/>
          <w:b/>
          <w:bCs/>
          <w:sz w:val="44"/>
          <w:szCs w:val="44"/>
        </w:rPr>
        <w:t>网上庭审</w:t>
      </w:r>
      <w:r>
        <w:rPr>
          <w:rFonts w:ascii="Times New Roman" w:hAnsi="Times New Roman" w:eastAsia="华文中宋" w:cs="Times New Roman"/>
          <w:b/>
          <w:bCs/>
          <w:sz w:val="44"/>
          <w:szCs w:val="44"/>
        </w:rPr>
        <w:t>规范</w:t>
      </w:r>
    </w:p>
    <w:p>
      <w:pPr>
        <w:spacing w:afterLines="50"/>
        <w:ind w:firstLine="600" w:firstLineChars="200"/>
        <w:jc w:val="center"/>
        <w:rPr>
          <w:rFonts w:ascii="楷体" w:hAnsi="楷体" w:eastAsia="楷体" w:cs="Times New Roman"/>
          <w:color w:val="000000"/>
          <w:sz w:val="30"/>
          <w:szCs w:val="30"/>
        </w:rPr>
      </w:pPr>
    </w:p>
    <w:p>
      <w:pPr>
        <w:spacing w:line="596" w:lineRule="exact"/>
        <w:ind w:firstLine="640" w:firstLineChars="200"/>
        <w:rPr>
          <w:rFonts w:ascii="Times New Roman" w:hAnsi="Times New Roman" w:eastAsia="仿宋_GB2312" w:cs="Times New Roman"/>
          <w:color w:val="000000"/>
          <w:sz w:val="32"/>
          <w:szCs w:val="32"/>
        </w:rPr>
      </w:pPr>
      <w:r>
        <w:rPr>
          <w:rFonts w:hint="eastAsia" w:ascii="Times New Roman" w:hAnsi="Times New Roman" w:eastAsia="仿宋_GB2312" w:cs="Times New Roman"/>
          <w:color w:val="000000"/>
          <w:sz w:val="32"/>
          <w:szCs w:val="32"/>
        </w:rPr>
        <w:t>为规范网上庭审，保障当事人诉讼权利，提高诉讼效率，方便当事人</w:t>
      </w:r>
      <w:r>
        <w:rPr>
          <w:rFonts w:ascii="Times New Roman" w:hAnsi="Times New Roman" w:eastAsia="仿宋_GB2312" w:cs="Times New Roman"/>
          <w:color w:val="000000"/>
          <w:sz w:val="32"/>
          <w:szCs w:val="32"/>
        </w:rPr>
        <w:t>诉讼</w:t>
      </w:r>
      <w:r>
        <w:rPr>
          <w:rFonts w:hint="eastAsia" w:ascii="Times New Roman" w:hAnsi="Times New Roman" w:eastAsia="仿宋_GB2312" w:cs="Times New Roman"/>
          <w:color w:val="000000"/>
          <w:sz w:val="32"/>
          <w:szCs w:val="32"/>
        </w:rPr>
        <w:t>，结合我院审判实际，</w:t>
      </w:r>
      <w:r>
        <w:rPr>
          <w:rFonts w:ascii="Times New Roman" w:hAnsi="Times New Roman" w:eastAsia="仿宋_GB2312" w:cs="Times New Roman"/>
          <w:color w:val="000000"/>
          <w:sz w:val="32"/>
          <w:szCs w:val="32"/>
        </w:rPr>
        <w:t>根据《中华人民共和国民事诉讼法》</w:t>
      </w:r>
      <w:r>
        <w:rPr>
          <w:rFonts w:hint="eastAsia" w:ascii="Times New Roman" w:hAnsi="Times New Roman" w:eastAsia="仿宋_GB2312" w:cs="Times New Roman"/>
          <w:color w:val="000000"/>
          <w:sz w:val="32"/>
          <w:szCs w:val="32"/>
        </w:rPr>
        <w:t>相关</w:t>
      </w:r>
      <w:r>
        <w:rPr>
          <w:rFonts w:ascii="Times New Roman" w:hAnsi="Times New Roman" w:eastAsia="仿宋_GB2312" w:cs="Times New Roman"/>
          <w:color w:val="000000"/>
          <w:sz w:val="32"/>
          <w:szCs w:val="32"/>
        </w:rPr>
        <w:t>规定，制定本</w:t>
      </w:r>
      <w:r>
        <w:rPr>
          <w:rFonts w:hint="eastAsia" w:ascii="Times New Roman" w:hAnsi="Times New Roman" w:eastAsia="仿宋_GB2312" w:cs="Times New Roman"/>
          <w:color w:val="000000"/>
          <w:sz w:val="32"/>
          <w:szCs w:val="32"/>
        </w:rPr>
        <w:t>庭审</w:t>
      </w:r>
      <w:r>
        <w:rPr>
          <w:rFonts w:ascii="Times New Roman" w:hAnsi="Times New Roman" w:eastAsia="仿宋_GB2312" w:cs="Times New Roman"/>
          <w:color w:val="000000"/>
          <w:sz w:val="32"/>
          <w:szCs w:val="32"/>
        </w:rPr>
        <w:t>规范。</w:t>
      </w:r>
    </w:p>
    <w:p>
      <w:pPr>
        <w:spacing w:line="596" w:lineRule="exact"/>
        <w:ind w:firstLine="640" w:firstLineChars="200"/>
        <w:rPr>
          <w:rFonts w:ascii="Times New Roman" w:hAnsi="Times New Roman" w:eastAsia="仿宋_GB2312" w:cs="Times New Roman"/>
          <w:color w:val="000000"/>
          <w:sz w:val="32"/>
          <w:szCs w:val="32"/>
        </w:rPr>
      </w:pPr>
      <w:r>
        <w:rPr>
          <w:rFonts w:hint="eastAsia" w:ascii="黑体" w:hAnsi="黑体" w:eastAsia="黑体" w:cs="黑体"/>
          <w:color w:val="000000"/>
          <w:sz w:val="32"/>
          <w:szCs w:val="32"/>
        </w:rPr>
        <w:t>一、开庭前准备</w:t>
      </w:r>
    </w:p>
    <w:p>
      <w:pPr>
        <w:spacing w:line="596" w:lineRule="exact"/>
        <w:ind w:firstLine="640" w:firstLineChars="200"/>
        <w:rPr>
          <w:rFonts w:ascii="Times New Roman" w:hAnsi="Times New Roman" w:eastAsia="仿宋_GB2312" w:cs="Times New Roman"/>
          <w:color w:val="000000"/>
          <w:sz w:val="32"/>
          <w:szCs w:val="32"/>
        </w:rPr>
      </w:pPr>
      <w:r>
        <w:rPr>
          <w:rFonts w:hint="eastAsia" w:ascii="Times New Roman" w:hAnsi="Times New Roman" w:eastAsia="仿宋_GB2312" w:cs="Times New Roman"/>
          <w:color w:val="000000"/>
          <w:sz w:val="32"/>
          <w:szCs w:val="32"/>
        </w:rPr>
        <w:t>1、书记员进行开庭准备</w:t>
      </w:r>
    </w:p>
    <w:p>
      <w:pPr>
        <w:spacing w:line="596" w:lineRule="exact"/>
        <w:ind w:firstLine="640" w:firstLineChars="200"/>
        <w:rPr>
          <w:rFonts w:ascii="Times New Roman" w:hAnsi="Times New Roman" w:eastAsia="仿宋_GB2312" w:cs="Times New Roman"/>
          <w:color w:val="000000"/>
          <w:sz w:val="32"/>
          <w:szCs w:val="32"/>
        </w:rPr>
      </w:pPr>
      <w:r>
        <w:rPr>
          <w:rFonts w:hint="eastAsia" w:ascii="Times New Roman" w:hAnsi="Times New Roman" w:eastAsia="仿宋_GB2312" w:cs="Times New Roman"/>
          <w:color w:val="000000"/>
          <w:sz w:val="32"/>
          <w:szCs w:val="32"/>
        </w:rPr>
        <w:t>（1）书记员应当确认当事人已在线阅读诉讼权利义务、廉政监督卡、申请回避告知、法庭纪律、操作指南，填写送达地址，将诉辩意见、证据及质证意见完整输入杭州互联网法院诉讼平台（以下简称诉讼平台）。必要时，法官助理或书记员可以进行引导。</w:t>
      </w:r>
    </w:p>
    <w:p>
      <w:pPr>
        <w:spacing w:line="596" w:lineRule="exact"/>
        <w:ind w:firstLine="640" w:firstLineChars="200"/>
        <w:rPr>
          <w:rFonts w:ascii="Times New Roman" w:hAnsi="Times New Roman" w:eastAsia="仿宋_GB2312" w:cs="Times New Roman"/>
          <w:color w:val="000000"/>
          <w:sz w:val="32"/>
          <w:szCs w:val="32"/>
        </w:rPr>
      </w:pPr>
      <w:r>
        <w:rPr>
          <w:rFonts w:hint="eastAsia" w:ascii="Times New Roman" w:hAnsi="Times New Roman" w:eastAsia="仿宋_GB2312" w:cs="Times New Roman"/>
          <w:color w:val="000000"/>
          <w:sz w:val="32"/>
          <w:szCs w:val="32"/>
        </w:rPr>
        <w:t>（2）检查诉讼参加人出庭情况。如有一方诉讼参加人未到庭的，应当即时查明原因，并报告审理法官处理。</w:t>
      </w:r>
    </w:p>
    <w:p>
      <w:pPr>
        <w:spacing w:line="596" w:lineRule="exact"/>
        <w:ind w:firstLine="640" w:firstLineChars="200"/>
        <w:rPr>
          <w:rFonts w:ascii="Times New Roman" w:hAnsi="Times New Roman" w:eastAsia="仿宋_GB2312" w:cs="Times New Roman"/>
          <w:color w:val="000000"/>
          <w:sz w:val="32"/>
          <w:szCs w:val="32"/>
        </w:rPr>
      </w:pPr>
      <w:r>
        <w:rPr>
          <w:rFonts w:hint="eastAsia" w:ascii="Times New Roman" w:hAnsi="Times New Roman" w:eastAsia="仿宋_GB2312" w:cs="Times New Roman"/>
          <w:color w:val="000000"/>
          <w:sz w:val="32"/>
          <w:szCs w:val="32"/>
        </w:rPr>
        <w:t>（3）核对诉讼参加人的身份。通过在线出示身份证件等方式完成当事人身份认证。</w:t>
      </w:r>
    </w:p>
    <w:p>
      <w:pPr>
        <w:spacing w:line="596" w:lineRule="exact"/>
        <w:ind w:firstLine="640" w:firstLineChars="200"/>
        <w:rPr>
          <w:rFonts w:ascii="Times New Roman" w:hAnsi="Times New Roman" w:eastAsia="仿宋_GB2312" w:cs="Times New Roman"/>
          <w:color w:val="000000"/>
          <w:sz w:val="32"/>
          <w:szCs w:val="32"/>
        </w:rPr>
      </w:pPr>
      <w:r>
        <w:rPr>
          <w:rFonts w:hint="eastAsia" w:ascii="Times New Roman" w:hAnsi="Times New Roman" w:eastAsia="仿宋_GB2312" w:cs="Times New Roman"/>
          <w:color w:val="000000"/>
          <w:sz w:val="32"/>
          <w:szCs w:val="32"/>
        </w:rPr>
        <w:t>（4）有证人、鉴定人、勘验人、检查人等出庭的，对其身份进行在线识别认证后，告知其在线等待，等候登陆传唤。</w:t>
      </w:r>
    </w:p>
    <w:p>
      <w:pPr>
        <w:spacing w:line="596" w:lineRule="exact"/>
        <w:ind w:firstLine="640" w:firstLineChars="200"/>
        <w:rPr>
          <w:rFonts w:ascii="Times New Roman" w:hAnsi="Times New Roman" w:eastAsia="仿宋_GB2312" w:cs="Times New Roman"/>
          <w:color w:val="000000"/>
          <w:sz w:val="32"/>
          <w:szCs w:val="32"/>
        </w:rPr>
      </w:pPr>
      <w:r>
        <w:rPr>
          <w:rFonts w:hint="eastAsia" w:ascii="Times New Roman" w:hAnsi="Times New Roman" w:eastAsia="仿宋_GB2312" w:cs="Times New Roman"/>
          <w:color w:val="000000"/>
          <w:sz w:val="32"/>
          <w:szCs w:val="32"/>
        </w:rPr>
        <w:t>（5）特别告知：A.网上庭审需保持网络畅通，除了查明确属技术、网络故障等原因导致庭审无法正常进行外，若庭审中原告擅自退出的，按撤诉处理；被告擅自退出的，按缺席继续审理。B.网上庭审全程录音录像，采用智能语音识别技术，书记员可不参与庭审。</w:t>
      </w:r>
      <w:r>
        <w:rPr>
          <w:rFonts w:ascii="Times New Roman" w:hAnsi="Times New Roman" w:eastAsia="仿宋_GB2312" w:cs="Times New Roman"/>
          <w:color w:val="000000"/>
          <w:sz w:val="32"/>
          <w:szCs w:val="32"/>
        </w:rPr>
        <w:t>C</w:t>
      </w:r>
      <w:r>
        <w:rPr>
          <w:rFonts w:hint="eastAsia" w:ascii="Times New Roman" w:hAnsi="Times New Roman" w:eastAsia="仿宋_GB2312" w:cs="Times New Roman"/>
          <w:color w:val="000000"/>
          <w:sz w:val="32"/>
          <w:szCs w:val="32"/>
        </w:rPr>
        <w:t>.诉讼参与人违反法庭纪律，破坏法庭秩序、妨碍诉讼活动顺利进行的，庭审录音录像可以作为追究其法律责任的证据。</w:t>
      </w:r>
    </w:p>
    <w:p>
      <w:pPr>
        <w:spacing w:line="596" w:lineRule="exact"/>
        <w:ind w:firstLine="640" w:firstLineChars="200"/>
        <w:rPr>
          <w:rFonts w:ascii="Times New Roman" w:hAnsi="Times New Roman" w:eastAsia="仿宋_GB2312" w:cs="Times New Roman"/>
          <w:color w:val="000000"/>
          <w:sz w:val="32"/>
          <w:szCs w:val="32"/>
        </w:rPr>
      </w:pPr>
      <w:r>
        <w:rPr>
          <w:rFonts w:hint="eastAsia" w:ascii="Times New Roman" w:hAnsi="Times New Roman" w:eastAsia="仿宋_GB2312" w:cs="Times New Roman"/>
          <w:color w:val="000000"/>
          <w:sz w:val="32"/>
          <w:szCs w:val="32"/>
        </w:rPr>
        <w:t>（6）书记员向审判长或审理法官简要报告到庭的诉讼参加人及其他诉讼参与人，以及其他需要报告的情况后，可退出庭审。</w:t>
      </w:r>
    </w:p>
    <w:p>
      <w:pPr>
        <w:spacing w:line="596" w:lineRule="exact"/>
        <w:ind w:firstLine="640" w:firstLineChars="200"/>
        <w:rPr>
          <w:rFonts w:ascii="Times New Roman" w:hAnsi="Times New Roman" w:eastAsia="仿宋_GB2312" w:cs="Times New Roman"/>
          <w:color w:val="000000"/>
          <w:sz w:val="32"/>
          <w:szCs w:val="32"/>
        </w:rPr>
      </w:pPr>
      <w:r>
        <w:rPr>
          <w:rFonts w:hint="eastAsia" w:ascii="Times New Roman" w:hAnsi="Times New Roman" w:eastAsia="仿宋_GB2312" w:cs="Times New Roman"/>
          <w:color w:val="000000"/>
          <w:sz w:val="32"/>
          <w:szCs w:val="32"/>
        </w:rPr>
        <w:t>2、技术人员应当在开庭前检测确认当事人</w:t>
      </w:r>
      <w:r>
        <w:rPr>
          <w:rFonts w:ascii="Times New Roman" w:hAnsi="Times New Roman" w:eastAsia="仿宋_GB2312" w:cs="Times New Roman"/>
          <w:color w:val="000000"/>
          <w:sz w:val="32"/>
          <w:szCs w:val="32"/>
        </w:rPr>
        <w:t>使用的网络条件</w:t>
      </w:r>
      <w:r>
        <w:rPr>
          <w:rFonts w:hint="eastAsia" w:ascii="Times New Roman" w:hAnsi="Times New Roman" w:eastAsia="仿宋_GB2312" w:cs="Times New Roman"/>
          <w:color w:val="000000"/>
          <w:sz w:val="32"/>
          <w:szCs w:val="32"/>
        </w:rPr>
        <w:t>、</w:t>
      </w:r>
      <w:r>
        <w:rPr>
          <w:rFonts w:ascii="Times New Roman" w:hAnsi="Times New Roman" w:eastAsia="仿宋_GB2312" w:cs="Times New Roman"/>
          <w:color w:val="000000"/>
          <w:sz w:val="32"/>
          <w:szCs w:val="32"/>
        </w:rPr>
        <w:t>设备、</w:t>
      </w:r>
      <w:r>
        <w:rPr>
          <w:rFonts w:hint="eastAsia" w:ascii="Times New Roman" w:hAnsi="Times New Roman" w:eastAsia="仿宋_GB2312" w:cs="Times New Roman"/>
          <w:color w:val="000000"/>
          <w:sz w:val="32"/>
          <w:szCs w:val="32"/>
        </w:rPr>
        <w:t>场所</w:t>
      </w:r>
      <w:r>
        <w:rPr>
          <w:rFonts w:ascii="Times New Roman" w:hAnsi="Times New Roman" w:eastAsia="仿宋_GB2312" w:cs="Times New Roman"/>
          <w:color w:val="000000"/>
          <w:sz w:val="32"/>
          <w:szCs w:val="32"/>
        </w:rPr>
        <w:t>符合</w:t>
      </w:r>
      <w:r>
        <w:rPr>
          <w:rFonts w:hint="eastAsia" w:ascii="Times New Roman" w:hAnsi="Times New Roman" w:eastAsia="仿宋_GB2312" w:cs="Times New Roman"/>
          <w:color w:val="000000"/>
          <w:sz w:val="32"/>
          <w:szCs w:val="32"/>
        </w:rPr>
        <w:t>网上</w:t>
      </w:r>
      <w:r>
        <w:rPr>
          <w:rFonts w:ascii="Times New Roman" w:hAnsi="Times New Roman" w:eastAsia="仿宋_GB2312" w:cs="Times New Roman"/>
          <w:color w:val="000000"/>
          <w:sz w:val="32"/>
          <w:szCs w:val="32"/>
        </w:rPr>
        <w:t>庭审需要</w:t>
      </w:r>
      <w:r>
        <w:rPr>
          <w:rFonts w:hint="eastAsia" w:ascii="Times New Roman" w:hAnsi="Times New Roman" w:eastAsia="仿宋_GB2312" w:cs="Times New Roman"/>
          <w:color w:val="000000"/>
          <w:sz w:val="32"/>
          <w:szCs w:val="32"/>
        </w:rPr>
        <w:t>。必要时，由技术人员提供技术支持。</w:t>
      </w:r>
    </w:p>
    <w:p>
      <w:pPr>
        <w:spacing w:line="596" w:lineRule="exact"/>
        <w:ind w:firstLine="640" w:firstLineChars="200"/>
        <w:rPr>
          <w:rFonts w:ascii="Times New Roman" w:hAnsi="Times New Roman" w:eastAsia="仿宋_GB2312" w:cs="Times New Roman"/>
          <w:color w:val="000000"/>
          <w:sz w:val="32"/>
          <w:szCs w:val="32"/>
        </w:rPr>
      </w:pPr>
      <w:r>
        <w:rPr>
          <w:rFonts w:hint="eastAsia" w:ascii="黑体" w:hAnsi="黑体" w:eastAsia="黑体" w:cs="黑体"/>
          <w:color w:val="000000"/>
          <w:sz w:val="32"/>
          <w:szCs w:val="32"/>
        </w:rPr>
        <w:t>二、开庭</w:t>
      </w:r>
    </w:p>
    <w:p>
      <w:pPr>
        <w:spacing w:line="596" w:lineRule="exact"/>
        <w:ind w:firstLine="640" w:firstLineChars="200"/>
        <w:rPr>
          <w:rFonts w:ascii="Times New Roman" w:hAnsi="Times New Roman" w:eastAsia="仿宋_GB2312" w:cs="Times New Roman"/>
          <w:color w:val="000000"/>
          <w:sz w:val="32"/>
          <w:szCs w:val="32"/>
        </w:rPr>
      </w:pPr>
      <w:r>
        <w:rPr>
          <w:rFonts w:hint="eastAsia" w:ascii="Times New Roman" w:hAnsi="Times New Roman" w:eastAsia="仿宋_GB2312" w:cs="Times New Roman"/>
          <w:color w:val="000000"/>
          <w:sz w:val="32"/>
          <w:szCs w:val="32"/>
        </w:rPr>
        <w:t>1、法官入庭并宣布开庭</w:t>
      </w:r>
    </w:p>
    <w:p>
      <w:pPr>
        <w:spacing w:line="596" w:lineRule="exact"/>
        <w:ind w:firstLine="640" w:firstLineChars="200"/>
        <w:rPr>
          <w:rFonts w:ascii="Times New Roman" w:hAnsi="Times New Roman" w:eastAsia="仿宋_GB2312" w:cs="Times New Roman"/>
          <w:color w:val="000000"/>
          <w:sz w:val="32"/>
          <w:szCs w:val="32"/>
        </w:rPr>
      </w:pPr>
      <w:r>
        <w:rPr>
          <w:rFonts w:hint="eastAsia" w:ascii="Times New Roman" w:hAnsi="Times New Roman" w:eastAsia="仿宋_GB2312" w:cs="Times New Roman"/>
          <w:color w:val="000000"/>
          <w:sz w:val="32"/>
          <w:szCs w:val="32"/>
        </w:rPr>
        <w:t>审理法官登陆诉讼平台，</w:t>
      </w:r>
      <w:r>
        <w:rPr>
          <w:rFonts w:ascii="Times New Roman" w:hAnsi="Times New Roman" w:eastAsia="仿宋_GB2312" w:cs="Times New Roman"/>
          <w:color w:val="000000"/>
          <w:sz w:val="32"/>
          <w:szCs w:val="32"/>
        </w:rPr>
        <w:t>点击“开始庭审”</w:t>
      </w:r>
      <w:r>
        <w:rPr>
          <w:rFonts w:hint="eastAsia" w:ascii="Times New Roman" w:hAnsi="Times New Roman" w:eastAsia="仿宋_GB2312" w:cs="Times New Roman"/>
          <w:color w:val="000000"/>
          <w:sz w:val="32"/>
          <w:szCs w:val="32"/>
        </w:rPr>
        <w:t>、敲击法槌，宣布开庭。</w:t>
      </w:r>
    </w:p>
    <w:p>
      <w:pPr>
        <w:spacing w:line="596" w:lineRule="exact"/>
        <w:ind w:firstLine="640" w:firstLineChars="200"/>
        <w:rPr>
          <w:rFonts w:ascii="Times New Roman" w:hAnsi="Times New Roman" w:eastAsia="仿宋_GB2312" w:cs="Times New Roman"/>
          <w:color w:val="000000"/>
          <w:sz w:val="32"/>
          <w:szCs w:val="32"/>
        </w:rPr>
      </w:pPr>
      <w:r>
        <w:rPr>
          <w:rFonts w:hint="eastAsia" w:ascii="Times New Roman" w:hAnsi="Times New Roman" w:eastAsia="仿宋_GB2312" w:cs="Times New Roman"/>
          <w:color w:val="000000"/>
          <w:sz w:val="32"/>
          <w:szCs w:val="32"/>
        </w:rPr>
        <w:t>2、法官确认诉讼参加人的身份</w:t>
      </w:r>
    </w:p>
    <w:p>
      <w:pPr>
        <w:spacing w:line="596" w:lineRule="exact"/>
        <w:ind w:firstLine="640" w:firstLineChars="200"/>
        <w:rPr>
          <w:rFonts w:ascii="Times New Roman" w:hAnsi="Times New Roman" w:eastAsia="仿宋_GB2312" w:cs="Times New Roman"/>
          <w:color w:val="000000"/>
          <w:sz w:val="32"/>
          <w:szCs w:val="32"/>
        </w:rPr>
      </w:pPr>
      <w:r>
        <w:rPr>
          <w:rFonts w:hint="eastAsia" w:ascii="Times New Roman" w:hAnsi="Times New Roman" w:eastAsia="仿宋_GB2312" w:cs="Times New Roman"/>
          <w:color w:val="000000"/>
          <w:sz w:val="32"/>
          <w:szCs w:val="32"/>
        </w:rPr>
        <w:t>审判长或审理法官询问到庭当事人是否与庭前书记员核对一致，询问各方当事人对对方出庭人员的身份是否有异议。</w:t>
      </w:r>
    </w:p>
    <w:p>
      <w:pPr>
        <w:spacing w:line="596" w:lineRule="exact"/>
        <w:ind w:firstLine="640" w:firstLineChars="200"/>
        <w:rPr>
          <w:rFonts w:ascii="Times New Roman" w:hAnsi="Times New Roman" w:eastAsia="仿宋_GB2312" w:cs="Times New Roman"/>
          <w:color w:val="000000"/>
          <w:sz w:val="32"/>
          <w:szCs w:val="32"/>
        </w:rPr>
      </w:pPr>
      <w:r>
        <w:rPr>
          <w:rFonts w:hint="eastAsia" w:ascii="Times New Roman" w:hAnsi="Times New Roman" w:eastAsia="仿宋_GB2312" w:cs="Times New Roman"/>
          <w:color w:val="000000"/>
          <w:sz w:val="32"/>
          <w:szCs w:val="32"/>
        </w:rPr>
        <w:t>3、宣告案名、案由、审理程序、审判组织和审理方式</w:t>
      </w:r>
    </w:p>
    <w:p>
      <w:pPr>
        <w:spacing w:line="596" w:lineRule="exact"/>
        <w:ind w:firstLine="640" w:firstLineChars="200"/>
        <w:rPr>
          <w:rFonts w:ascii="Times New Roman" w:hAnsi="Times New Roman" w:eastAsia="仿宋_GB2312" w:cs="Times New Roman"/>
          <w:color w:val="000000"/>
          <w:sz w:val="32"/>
          <w:szCs w:val="32"/>
        </w:rPr>
      </w:pPr>
      <w:r>
        <w:rPr>
          <w:rFonts w:hint="eastAsia" w:ascii="Times New Roman" w:hAnsi="Times New Roman" w:eastAsia="仿宋_GB2312" w:cs="Times New Roman"/>
          <w:color w:val="000000"/>
          <w:sz w:val="32"/>
          <w:szCs w:val="32"/>
        </w:rPr>
        <w:t>审判长或审理法官宣告案名</w:t>
      </w:r>
      <w:r>
        <w:rPr>
          <w:rFonts w:hint="eastAsia" w:ascii="Times New Roman" w:hAnsi="Times New Roman" w:eastAsia="仿宋_GB2312" w:cs="Times New Roman"/>
          <w:color w:val="000000"/>
          <w:sz w:val="32"/>
          <w:szCs w:val="32"/>
          <w:lang w:eastAsia="zh-CN"/>
        </w:rPr>
        <w:t>。</w:t>
      </w:r>
      <w:r>
        <w:rPr>
          <w:rFonts w:hint="eastAsia" w:ascii="Times New Roman" w:hAnsi="Times New Roman" w:eastAsia="仿宋_GB2312" w:cs="Times New Roman"/>
          <w:color w:val="000000"/>
          <w:sz w:val="32"/>
          <w:szCs w:val="32"/>
        </w:rPr>
        <w:t>本庭现审理的是：原告</w:t>
      </w:r>
      <w:r>
        <w:rPr>
          <w:rFonts w:ascii="Times New Roman" w:hAnsi="Times New Roman" w:eastAsia="仿宋_GB2312" w:cs="Times New Roman"/>
          <w:color w:val="000000"/>
          <w:sz w:val="32"/>
          <w:szCs w:val="32"/>
        </w:rPr>
        <w:t>XXX</w:t>
      </w:r>
      <w:r>
        <w:rPr>
          <w:rFonts w:hint="eastAsia" w:ascii="Times New Roman" w:hAnsi="Times New Roman" w:eastAsia="仿宋_GB2312" w:cs="Times New Roman"/>
          <w:color w:val="000000"/>
          <w:sz w:val="32"/>
          <w:szCs w:val="32"/>
        </w:rPr>
        <w:t>诉（与）被告</w:t>
      </w:r>
      <w:r>
        <w:rPr>
          <w:rFonts w:ascii="Times New Roman" w:hAnsi="Times New Roman" w:eastAsia="仿宋_GB2312" w:cs="Times New Roman"/>
          <w:color w:val="000000"/>
          <w:sz w:val="32"/>
          <w:szCs w:val="32"/>
        </w:rPr>
        <w:t>XXX</w:t>
      </w:r>
      <w:r>
        <w:rPr>
          <w:rFonts w:hint="eastAsia" w:ascii="Times New Roman" w:hAnsi="Times New Roman" w:eastAsia="仿宋_GB2312" w:cs="Times New Roman"/>
          <w:color w:val="000000"/>
          <w:sz w:val="32"/>
          <w:szCs w:val="32"/>
        </w:rPr>
        <w:t>…（案由）一案，依法适用XX程序进行审理。</w:t>
      </w:r>
    </w:p>
    <w:p>
      <w:pPr>
        <w:spacing w:line="596" w:lineRule="exact"/>
        <w:ind w:firstLine="640" w:firstLineChars="200"/>
        <w:rPr>
          <w:rFonts w:ascii="Times New Roman" w:hAnsi="Times New Roman" w:eastAsia="仿宋_GB2312" w:cs="Times New Roman"/>
          <w:color w:val="000000"/>
          <w:sz w:val="32"/>
          <w:szCs w:val="32"/>
        </w:rPr>
      </w:pPr>
      <w:r>
        <w:rPr>
          <w:rFonts w:hint="eastAsia" w:ascii="Times New Roman" w:hAnsi="Times New Roman" w:eastAsia="仿宋_GB2312" w:cs="Times New Roman"/>
          <w:color w:val="000000"/>
          <w:sz w:val="32"/>
          <w:szCs w:val="32"/>
        </w:rPr>
        <w:t>4、其他告知事项</w:t>
      </w:r>
    </w:p>
    <w:p>
      <w:pPr>
        <w:spacing w:line="596" w:lineRule="exact"/>
        <w:ind w:firstLine="640" w:firstLineChars="200"/>
        <w:rPr>
          <w:rFonts w:ascii="Times New Roman" w:hAnsi="Times New Roman" w:eastAsia="仿宋_GB2312" w:cs="Times New Roman"/>
          <w:color w:val="000000"/>
          <w:sz w:val="32"/>
          <w:szCs w:val="32"/>
        </w:rPr>
      </w:pPr>
      <w:r>
        <w:rPr>
          <w:rFonts w:hint="eastAsia" w:ascii="Times New Roman" w:hAnsi="Times New Roman" w:eastAsia="仿宋_GB2312" w:cs="Times New Roman"/>
          <w:color w:val="000000"/>
          <w:sz w:val="32"/>
          <w:szCs w:val="32"/>
        </w:rPr>
        <w:t>双方已通过电子方式确认对审判员、书记员不申请回避，并对诉讼中的权利义务和庭审过程中注意的事项进行阅读确认的，审判长或审理法官将上述情况告知后让双方当事人进行确认，不再重复告知。</w:t>
      </w:r>
    </w:p>
    <w:p>
      <w:pPr>
        <w:spacing w:line="596" w:lineRule="exact"/>
        <w:ind w:firstLine="640" w:firstLineChars="200"/>
        <w:rPr>
          <w:rFonts w:hint="eastAsia" w:ascii="黑体" w:hAnsi="黑体" w:eastAsia="黑体" w:cs="黑体"/>
          <w:b w:val="0"/>
          <w:bCs w:val="0"/>
          <w:color w:val="000000"/>
          <w:sz w:val="32"/>
          <w:szCs w:val="32"/>
        </w:rPr>
      </w:pPr>
      <w:r>
        <w:rPr>
          <w:rFonts w:hint="eastAsia" w:ascii="黑体" w:hAnsi="黑体" w:eastAsia="黑体" w:cs="黑体"/>
          <w:b w:val="0"/>
          <w:bCs w:val="0"/>
          <w:color w:val="000000"/>
          <w:sz w:val="32"/>
          <w:szCs w:val="32"/>
        </w:rPr>
        <w:t>三、法庭调查</w:t>
      </w:r>
    </w:p>
    <w:p>
      <w:pPr>
        <w:spacing w:line="596" w:lineRule="exact"/>
        <w:ind w:firstLine="640" w:firstLineChars="200"/>
        <w:rPr>
          <w:rFonts w:ascii="Times New Roman" w:hAnsi="Times New Roman" w:eastAsia="仿宋_GB2312" w:cs="Times New Roman"/>
          <w:color w:val="000000"/>
          <w:sz w:val="32"/>
          <w:szCs w:val="32"/>
        </w:rPr>
      </w:pPr>
      <w:r>
        <w:rPr>
          <w:rFonts w:hint="eastAsia" w:ascii="Times New Roman" w:hAnsi="Times New Roman" w:eastAsia="仿宋_GB2312" w:cs="Times New Roman"/>
          <w:color w:val="000000"/>
          <w:sz w:val="32"/>
          <w:szCs w:val="32"/>
        </w:rPr>
        <w:t>1、当事人陈述</w:t>
      </w:r>
    </w:p>
    <w:p>
      <w:pPr>
        <w:spacing w:line="596" w:lineRule="exact"/>
        <w:ind w:firstLine="640" w:firstLineChars="200"/>
        <w:rPr>
          <w:rFonts w:ascii="Times New Roman" w:hAnsi="Times New Roman" w:eastAsia="仿宋_GB2312" w:cs="Times New Roman"/>
          <w:color w:val="000000"/>
          <w:sz w:val="32"/>
          <w:szCs w:val="32"/>
        </w:rPr>
      </w:pPr>
      <w:r>
        <w:rPr>
          <w:rFonts w:hint="eastAsia" w:ascii="Times New Roman" w:hAnsi="Times New Roman" w:eastAsia="仿宋_GB2312" w:cs="Times New Roman"/>
          <w:color w:val="000000"/>
          <w:sz w:val="32"/>
          <w:szCs w:val="32"/>
        </w:rPr>
        <w:t>审判长或审理法官宣布开始法庭调查，并询问原告起诉的请求、事实与理由是否与诉讼平台上提供的一致，有无补充或修改。没有补充或修改的，不再当庭陈述，但原告应简要概述起诉内容。</w:t>
      </w:r>
    </w:p>
    <w:p>
      <w:pPr>
        <w:spacing w:line="596" w:lineRule="exact"/>
        <w:ind w:firstLine="640" w:firstLineChars="200"/>
        <w:rPr>
          <w:rFonts w:ascii="Times New Roman" w:hAnsi="Times New Roman" w:eastAsia="仿宋_GB2312" w:cs="Times New Roman"/>
          <w:color w:val="000000"/>
          <w:sz w:val="32"/>
          <w:szCs w:val="32"/>
        </w:rPr>
      </w:pPr>
      <w:r>
        <w:rPr>
          <w:rFonts w:hint="eastAsia" w:ascii="Times New Roman" w:hAnsi="Times New Roman" w:eastAsia="仿宋_GB2312" w:cs="Times New Roman"/>
          <w:color w:val="000000"/>
          <w:sz w:val="32"/>
          <w:szCs w:val="32"/>
        </w:rPr>
        <w:t>审判长或审理法官询问被告答辩请求、事实与理由是否与诉讼平台上提供的一致，有无补充或修改。没有补充或修改的，</w:t>
      </w:r>
      <w:bookmarkStart w:id="0" w:name="_GoBack"/>
      <w:bookmarkEnd w:id="0"/>
      <w:r>
        <w:rPr>
          <w:rFonts w:hint="eastAsia" w:ascii="Times New Roman" w:hAnsi="Times New Roman" w:eastAsia="仿宋_GB2312" w:cs="Times New Roman"/>
          <w:color w:val="000000"/>
          <w:sz w:val="32"/>
          <w:szCs w:val="32"/>
        </w:rPr>
        <w:t>被告应简要概述答辩内容。</w:t>
      </w:r>
    </w:p>
    <w:p>
      <w:pPr>
        <w:spacing w:line="596" w:lineRule="exact"/>
        <w:ind w:firstLine="640" w:firstLineChars="200"/>
        <w:rPr>
          <w:rFonts w:ascii="Times New Roman" w:hAnsi="Times New Roman" w:eastAsia="仿宋_GB2312" w:cs="Times New Roman"/>
          <w:color w:val="000000"/>
          <w:sz w:val="32"/>
          <w:szCs w:val="32"/>
        </w:rPr>
      </w:pPr>
      <w:r>
        <w:rPr>
          <w:rFonts w:hint="eastAsia" w:ascii="Times New Roman" w:hAnsi="Times New Roman" w:eastAsia="仿宋_GB2312" w:cs="Times New Roman"/>
          <w:color w:val="000000"/>
          <w:sz w:val="32"/>
          <w:szCs w:val="32"/>
        </w:rPr>
        <w:t>2、归纳争议焦点</w:t>
      </w:r>
    </w:p>
    <w:p>
      <w:pPr>
        <w:spacing w:line="596" w:lineRule="exact"/>
        <w:ind w:firstLine="640" w:firstLineChars="200"/>
        <w:rPr>
          <w:rFonts w:ascii="Times New Roman" w:hAnsi="Times New Roman" w:eastAsia="仿宋_GB2312" w:cs="Times New Roman"/>
          <w:color w:val="000000"/>
          <w:sz w:val="32"/>
          <w:szCs w:val="32"/>
        </w:rPr>
      </w:pPr>
      <w:r>
        <w:rPr>
          <w:rFonts w:hint="eastAsia" w:ascii="Times New Roman" w:hAnsi="Times New Roman" w:eastAsia="仿宋_GB2312" w:cs="Times New Roman"/>
          <w:color w:val="000000"/>
          <w:sz w:val="32"/>
          <w:szCs w:val="32"/>
        </w:rPr>
        <w:t>审判长或审理法官归纳并宣布双方争议焦点。争议焦点已提前在诉讼平台归纳并送达给双方当事人的，视情进行修改、补充或删减。</w:t>
      </w:r>
    </w:p>
    <w:p>
      <w:pPr>
        <w:spacing w:line="596" w:lineRule="exact"/>
        <w:ind w:firstLine="640" w:firstLineChars="200"/>
        <w:rPr>
          <w:rFonts w:ascii="Times New Roman" w:hAnsi="Times New Roman" w:eastAsia="仿宋_GB2312" w:cs="Times New Roman"/>
          <w:color w:val="000000"/>
          <w:sz w:val="32"/>
          <w:szCs w:val="32"/>
        </w:rPr>
      </w:pPr>
      <w:r>
        <w:rPr>
          <w:rFonts w:hint="eastAsia" w:ascii="Times New Roman" w:hAnsi="Times New Roman" w:eastAsia="仿宋_GB2312" w:cs="Times New Roman"/>
          <w:color w:val="000000"/>
          <w:sz w:val="32"/>
          <w:szCs w:val="32"/>
        </w:rPr>
        <w:t>争议焦点确定后，要求各方当事人围绕争议焦点进行举证质证、发表辩论意见。</w:t>
      </w:r>
    </w:p>
    <w:p>
      <w:pPr>
        <w:spacing w:line="596" w:lineRule="exact"/>
        <w:ind w:firstLine="640" w:firstLineChars="200"/>
        <w:rPr>
          <w:rFonts w:ascii="Times New Roman" w:hAnsi="Times New Roman" w:eastAsia="仿宋_GB2312" w:cs="Times New Roman"/>
          <w:color w:val="000000"/>
          <w:sz w:val="32"/>
          <w:szCs w:val="32"/>
        </w:rPr>
      </w:pPr>
      <w:r>
        <w:rPr>
          <w:rFonts w:hint="eastAsia" w:ascii="Times New Roman" w:hAnsi="Times New Roman" w:eastAsia="仿宋_GB2312" w:cs="Times New Roman"/>
          <w:color w:val="000000"/>
          <w:sz w:val="32"/>
          <w:szCs w:val="32"/>
        </w:rPr>
        <w:t>如果当事人对案件事实没有或者基本没有争议，且根据当事人陈述即可直接认定全案事实的，即可宣布法庭调查结束。</w:t>
      </w:r>
    </w:p>
    <w:p>
      <w:pPr>
        <w:spacing w:line="596" w:lineRule="exact"/>
        <w:ind w:firstLine="640" w:firstLineChars="200"/>
        <w:rPr>
          <w:rFonts w:ascii="Times New Roman" w:hAnsi="Times New Roman" w:eastAsia="仿宋_GB2312" w:cs="Times New Roman"/>
          <w:color w:val="000000"/>
          <w:sz w:val="32"/>
          <w:szCs w:val="32"/>
        </w:rPr>
      </w:pPr>
      <w:r>
        <w:rPr>
          <w:rFonts w:hint="eastAsia" w:ascii="Times New Roman" w:hAnsi="Times New Roman" w:eastAsia="仿宋_GB2312" w:cs="Times New Roman"/>
          <w:color w:val="000000"/>
          <w:sz w:val="32"/>
          <w:szCs w:val="32"/>
        </w:rPr>
        <w:t>3、举证质证</w:t>
      </w:r>
    </w:p>
    <w:p>
      <w:pPr>
        <w:spacing w:line="596" w:lineRule="exact"/>
        <w:ind w:firstLine="640" w:firstLineChars="200"/>
        <w:rPr>
          <w:rFonts w:ascii="Times New Roman" w:hAnsi="Times New Roman" w:eastAsia="仿宋_GB2312" w:cs="Times New Roman"/>
          <w:color w:val="000000"/>
          <w:sz w:val="32"/>
          <w:szCs w:val="32"/>
        </w:rPr>
      </w:pPr>
      <w:r>
        <w:rPr>
          <w:rFonts w:hint="eastAsia" w:ascii="Times New Roman" w:hAnsi="Times New Roman" w:eastAsia="仿宋_GB2312" w:cs="Times New Roman"/>
          <w:color w:val="000000"/>
          <w:sz w:val="32"/>
          <w:szCs w:val="32"/>
        </w:rPr>
        <w:t>审判长或审理法官询问当事人提供的证据是否与诉讼平台上提供的一致，有无补充或修改。没有补充或修改的，不再一一陈述。</w:t>
      </w:r>
    </w:p>
    <w:p>
      <w:pPr>
        <w:spacing w:line="596" w:lineRule="exact"/>
        <w:ind w:firstLine="640" w:firstLineChars="200"/>
        <w:rPr>
          <w:rFonts w:ascii="Times New Roman" w:hAnsi="Times New Roman" w:eastAsia="仿宋_GB2312" w:cs="Times New Roman"/>
          <w:color w:val="000000"/>
          <w:sz w:val="32"/>
          <w:szCs w:val="32"/>
        </w:rPr>
      </w:pPr>
      <w:r>
        <w:rPr>
          <w:rFonts w:hint="eastAsia" w:ascii="Times New Roman" w:hAnsi="Times New Roman" w:eastAsia="仿宋_GB2312" w:cs="Times New Roman"/>
          <w:color w:val="000000"/>
          <w:sz w:val="32"/>
          <w:szCs w:val="32"/>
        </w:rPr>
        <w:t>审判长或审理法官宣布由对方当事人质证，引导当事人围绕证据的真实性、关联性、合法性，针对证据证明力有无以及证明力大小，进行辨认与辩驳。审判长或审理法官应将双方无争议的证据予以固定，并引导双方仅围绕有争议的证据发表质证意见。</w:t>
      </w:r>
    </w:p>
    <w:p>
      <w:pPr>
        <w:spacing w:line="596" w:lineRule="exact"/>
        <w:ind w:firstLine="640" w:firstLineChars="200"/>
        <w:rPr>
          <w:rFonts w:ascii="Times New Roman" w:hAnsi="Times New Roman" w:eastAsia="仿宋_GB2312" w:cs="Times New Roman"/>
          <w:color w:val="000000"/>
          <w:sz w:val="32"/>
          <w:szCs w:val="32"/>
        </w:rPr>
      </w:pPr>
      <w:r>
        <w:rPr>
          <w:rFonts w:hint="eastAsia" w:ascii="Times New Roman" w:hAnsi="Times New Roman" w:eastAsia="仿宋_GB2312" w:cs="Times New Roman"/>
          <w:color w:val="000000"/>
          <w:sz w:val="32"/>
          <w:szCs w:val="32"/>
        </w:rPr>
        <w:t>庭前当事人已在诉讼平台输入质证意见的，询问当事人</w:t>
      </w:r>
    </w:p>
    <w:p>
      <w:pPr>
        <w:spacing w:line="596" w:lineRule="exact"/>
        <w:rPr>
          <w:rFonts w:ascii="Times New Roman" w:hAnsi="Times New Roman" w:eastAsia="仿宋_GB2312" w:cs="Times New Roman"/>
          <w:color w:val="000000"/>
          <w:sz w:val="32"/>
          <w:szCs w:val="32"/>
        </w:rPr>
      </w:pPr>
      <w:r>
        <w:rPr>
          <w:rFonts w:hint="eastAsia" w:ascii="Times New Roman" w:hAnsi="Times New Roman" w:eastAsia="仿宋_GB2312" w:cs="Times New Roman"/>
          <w:color w:val="000000"/>
          <w:sz w:val="32"/>
          <w:szCs w:val="32"/>
        </w:rPr>
        <w:t>有无补充或修改。没有补充或修改的，不再一一陈述。</w:t>
      </w:r>
    </w:p>
    <w:p>
      <w:pPr>
        <w:spacing w:line="596" w:lineRule="exact"/>
        <w:ind w:firstLine="640" w:firstLineChars="200"/>
        <w:rPr>
          <w:rFonts w:ascii="Times New Roman" w:hAnsi="Times New Roman" w:eastAsia="仿宋_GB2312" w:cs="Times New Roman"/>
          <w:color w:val="000000"/>
          <w:sz w:val="32"/>
          <w:szCs w:val="32"/>
        </w:rPr>
      </w:pPr>
      <w:r>
        <w:rPr>
          <w:rFonts w:hint="eastAsia" w:ascii="Times New Roman" w:hAnsi="Times New Roman" w:eastAsia="仿宋_GB2312" w:cs="Times New Roman"/>
          <w:color w:val="000000"/>
          <w:sz w:val="32"/>
          <w:szCs w:val="32"/>
        </w:rPr>
        <w:t>网页等在线证据，应当庭登陆进行展示；证人出庭作证的，可由审判长或审理法官发送庭审码传唤其登陆并在线作证。鉴定人、勘验人、检查人出庭的，参照证人出庭的方式执行。</w:t>
      </w:r>
    </w:p>
    <w:p>
      <w:pPr>
        <w:spacing w:line="596" w:lineRule="exact"/>
        <w:ind w:firstLine="640" w:firstLineChars="200"/>
        <w:rPr>
          <w:rFonts w:ascii="Times New Roman" w:hAnsi="Times New Roman" w:eastAsia="仿宋_GB2312" w:cs="Times New Roman"/>
          <w:color w:val="000000"/>
          <w:sz w:val="32"/>
          <w:szCs w:val="32"/>
        </w:rPr>
      </w:pPr>
      <w:r>
        <w:rPr>
          <w:rFonts w:hint="eastAsia" w:ascii="Times New Roman" w:hAnsi="Times New Roman" w:eastAsia="仿宋_GB2312" w:cs="Times New Roman"/>
          <w:color w:val="000000"/>
          <w:sz w:val="32"/>
          <w:szCs w:val="32"/>
        </w:rPr>
        <w:t>当事人对证据原件有异议的，可指令其于庭后指定时间内到法院现场确认并发表补充质证意见，确有必要的，可以安排线下庭审</w:t>
      </w:r>
      <w:r>
        <w:rPr>
          <w:rFonts w:ascii="Times New Roman" w:hAnsi="Times New Roman" w:eastAsia="仿宋_GB2312" w:cs="Times New Roman"/>
          <w:color w:val="000000"/>
          <w:sz w:val="32"/>
          <w:szCs w:val="32"/>
        </w:rPr>
        <w:t>进行审理。</w:t>
      </w:r>
    </w:p>
    <w:p>
      <w:pPr>
        <w:spacing w:line="596" w:lineRule="exact"/>
        <w:ind w:firstLine="640" w:firstLineChars="200"/>
        <w:rPr>
          <w:rFonts w:ascii="Times New Roman" w:hAnsi="Times New Roman" w:eastAsia="仿宋_GB2312" w:cs="Times New Roman"/>
          <w:color w:val="000000"/>
          <w:sz w:val="32"/>
          <w:szCs w:val="32"/>
        </w:rPr>
      </w:pPr>
      <w:r>
        <w:rPr>
          <w:rFonts w:hint="eastAsia" w:ascii="Times New Roman" w:hAnsi="Times New Roman" w:eastAsia="仿宋_GB2312" w:cs="Times New Roman"/>
          <w:color w:val="000000"/>
          <w:sz w:val="32"/>
          <w:szCs w:val="32"/>
        </w:rPr>
        <w:t>4、发问和答问</w:t>
      </w:r>
    </w:p>
    <w:p>
      <w:pPr>
        <w:spacing w:line="596" w:lineRule="exact"/>
        <w:ind w:firstLine="640" w:firstLineChars="200"/>
        <w:rPr>
          <w:rFonts w:ascii="Times New Roman" w:hAnsi="Times New Roman" w:eastAsia="仿宋_GB2312" w:cs="Times New Roman"/>
          <w:color w:val="000000"/>
          <w:sz w:val="32"/>
          <w:szCs w:val="32"/>
        </w:rPr>
      </w:pPr>
      <w:r>
        <w:rPr>
          <w:rFonts w:hint="eastAsia" w:ascii="Times New Roman" w:hAnsi="Times New Roman" w:eastAsia="仿宋_GB2312" w:cs="Times New Roman"/>
          <w:color w:val="000000"/>
          <w:sz w:val="32"/>
          <w:szCs w:val="32"/>
        </w:rPr>
        <w:t>审判长或审理法官组织各方当事人就有争议的事实部分有无问题向对方发问，并指示被问当事人答问。</w:t>
      </w:r>
    </w:p>
    <w:p>
      <w:pPr>
        <w:spacing w:line="596" w:lineRule="exact"/>
        <w:ind w:firstLine="640" w:firstLineChars="200"/>
        <w:rPr>
          <w:rFonts w:ascii="Times New Roman" w:hAnsi="Times New Roman" w:eastAsia="仿宋_GB2312" w:cs="Times New Roman"/>
          <w:color w:val="000000"/>
          <w:sz w:val="32"/>
          <w:szCs w:val="32"/>
        </w:rPr>
      </w:pPr>
      <w:r>
        <w:rPr>
          <w:rFonts w:hint="eastAsia" w:ascii="Times New Roman" w:hAnsi="Times New Roman" w:eastAsia="仿宋_GB2312" w:cs="Times New Roman"/>
          <w:color w:val="000000"/>
          <w:sz w:val="32"/>
          <w:szCs w:val="32"/>
        </w:rPr>
        <w:t>审判长或审理法官根据案件审理的需要，可以向当事人发问。对可在线核验的基础性争议事实，审判长或审理法官可视情依职权当庭审查。</w:t>
      </w:r>
    </w:p>
    <w:p>
      <w:pPr>
        <w:spacing w:line="596" w:lineRule="exact"/>
        <w:ind w:firstLine="640" w:firstLineChars="200"/>
        <w:rPr>
          <w:rFonts w:ascii="Times New Roman" w:hAnsi="Times New Roman" w:eastAsia="仿宋_GB2312" w:cs="Times New Roman"/>
          <w:color w:val="000000"/>
          <w:sz w:val="32"/>
          <w:szCs w:val="32"/>
        </w:rPr>
      </w:pPr>
      <w:r>
        <w:rPr>
          <w:rFonts w:hint="eastAsia" w:ascii="Times New Roman" w:hAnsi="Times New Roman" w:eastAsia="仿宋_GB2312" w:cs="Times New Roman"/>
          <w:color w:val="000000"/>
          <w:sz w:val="32"/>
          <w:szCs w:val="32"/>
        </w:rPr>
        <w:t>案件事实属要素式、结构化的，可在庭前由双方当事人在线勾选内容的基础上，进行进一步调查。</w:t>
      </w:r>
    </w:p>
    <w:p>
      <w:pPr>
        <w:spacing w:line="596" w:lineRule="exact"/>
        <w:ind w:firstLine="640" w:firstLineChars="200"/>
        <w:rPr>
          <w:rFonts w:ascii="Times New Roman" w:hAnsi="Times New Roman" w:eastAsia="仿宋_GB2312" w:cs="Times New Roman"/>
          <w:color w:val="000000"/>
          <w:sz w:val="32"/>
          <w:szCs w:val="32"/>
        </w:rPr>
      </w:pPr>
      <w:r>
        <w:rPr>
          <w:rFonts w:hint="eastAsia" w:ascii="黑体" w:hAnsi="黑体" w:eastAsia="黑体" w:cs="黑体"/>
          <w:color w:val="000000"/>
          <w:sz w:val="32"/>
          <w:szCs w:val="32"/>
        </w:rPr>
        <w:t>四、法庭辩论</w:t>
      </w:r>
    </w:p>
    <w:p>
      <w:pPr>
        <w:spacing w:line="596" w:lineRule="exact"/>
        <w:ind w:firstLine="640" w:firstLineChars="200"/>
        <w:rPr>
          <w:rFonts w:ascii="Times New Roman" w:hAnsi="Times New Roman" w:eastAsia="仿宋_GB2312" w:cs="Times New Roman"/>
          <w:color w:val="000000"/>
          <w:sz w:val="32"/>
          <w:szCs w:val="32"/>
        </w:rPr>
      </w:pPr>
      <w:r>
        <w:rPr>
          <w:rFonts w:ascii="Times New Roman" w:hAnsi="Times New Roman" w:eastAsia="仿宋_GB2312" w:cs="Times New Roman"/>
          <w:color w:val="000000"/>
          <w:sz w:val="32"/>
          <w:szCs w:val="32"/>
        </w:rPr>
        <w:t>1</w:t>
      </w:r>
      <w:r>
        <w:rPr>
          <w:rFonts w:hint="eastAsia" w:ascii="Times New Roman" w:hAnsi="Times New Roman" w:eastAsia="仿宋_GB2312" w:cs="Times New Roman"/>
          <w:color w:val="000000"/>
          <w:sz w:val="32"/>
          <w:szCs w:val="32"/>
        </w:rPr>
        <w:t>、审判长或审理法官确认各方当事人没有新的证据提供和其他事实需要调查后，宣布法庭调查结束，开始法庭辩论，指示各方当事人围绕争议焦点依次进行辩论发言。</w:t>
      </w:r>
    </w:p>
    <w:p>
      <w:pPr>
        <w:spacing w:line="596" w:lineRule="exact"/>
        <w:ind w:firstLine="640" w:firstLineChars="200"/>
        <w:rPr>
          <w:rFonts w:ascii="Times New Roman" w:hAnsi="Times New Roman" w:eastAsia="仿宋_GB2312" w:cs="Times New Roman"/>
          <w:color w:val="000000"/>
          <w:sz w:val="32"/>
          <w:szCs w:val="32"/>
        </w:rPr>
      </w:pPr>
      <w:r>
        <w:rPr>
          <w:rFonts w:hint="eastAsia" w:ascii="Times New Roman" w:hAnsi="Times New Roman" w:eastAsia="仿宋_GB2312" w:cs="Times New Roman"/>
          <w:color w:val="000000"/>
          <w:sz w:val="32"/>
          <w:szCs w:val="32"/>
        </w:rPr>
        <w:t>经过法庭调查，争议焦点发生变化的，审判长或审理法官进行补充或修正。</w:t>
      </w:r>
    </w:p>
    <w:p>
      <w:pPr>
        <w:spacing w:line="596" w:lineRule="exact"/>
        <w:ind w:firstLine="640" w:firstLineChars="200"/>
        <w:rPr>
          <w:rFonts w:ascii="Times New Roman" w:hAnsi="Times New Roman" w:eastAsia="仿宋_GB2312" w:cs="Times New Roman"/>
          <w:color w:val="000000"/>
          <w:sz w:val="32"/>
          <w:szCs w:val="32"/>
        </w:rPr>
      </w:pPr>
      <w:r>
        <w:rPr>
          <w:rFonts w:hint="eastAsia" w:ascii="Times New Roman" w:hAnsi="Times New Roman" w:eastAsia="仿宋_GB2312" w:cs="Times New Roman"/>
          <w:color w:val="000000"/>
          <w:sz w:val="32"/>
          <w:szCs w:val="32"/>
        </w:rPr>
        <w:t>2、简易程序中一般只进行一轮辩论，确有必要的，可以组织第二轮辩论。</w:t>
      </w:r>
    </w:p>
    <w:p>
      <w:pPr>
        <w:spacing w:line="596" w:lineRule="exact"/>
        <w:ind w:firstLine="640" w:firstLineChars="200"/>
        <w:rPr>
          <w:rFonts w:ascii="Times New Roman" w:hAnsi="Times New Roman" w:eastAsia="仿宋_GB2312" w:cs="Times New Roman"/>
          <w:color w:val="000000"/>
          <w:sz w:val="32"/>
          <w:szCs w:val="32"/>
        </w:rPr>
      </w:pPr>
      <w:r>
        <w:rPr>
          <w:rFonts w:hint="eastAsia" w:ascii="Times New Roman" w:hAnsi="Times New Roman" w:eastAsia="仿宋_GB2312" w:cs="Times New Roman"/>
          <w:color w:val="000000"/>
          <w:sz w:val="32"/>
          <w:szCs w:val="32"/>
        </w:rPr>
        <w:t>3、对案件事实、法律适用、实体处理当事人均无争议的，审判长或审理法官向当事人说明后，不再组织法庭辩论。</w:t>
      </w:r>
    </w:p>
    <w:p>
      <w:pPr>
        <w:spacing w:line="596" w:lineRule="exact"/>
        <w:ind w:firstLine="640" w:firstLineChars="200"/>
        <w:rPr>
          <w:rFonts w:ascii="Times New Roman" w:hAnsi="Times New Roman" w:eastAsia="仿宋_GB2312" w:cs="Times New Roman"/>
          <w:color w:val="000000"/>
          <w:sz w:val="32"/>
          <w:szCs w:val="32"/>
        </w:rPr>
      </w:pPr>
      <w:r>
        <w:rPr>
          <w:rFonts w:hint="eastAsia" w:ascii="Times New Roman" w:hAnsi="Times New Roman" w:eastAsia="仿宋_GB2312" w:cs="Times New Roman"/>
          <w:color w:val="000000"/>
          <w:sz w:val="32"/>
          <w:szCs w:val="32"/>
        </w:rPr>
        <w:t>4、对于简单民事案件，可以直接围绕诉讼请求进行庭审，不受法庭调查、法庭辩论等庭审程序限制。对于案件要素与审理要点相对集中的民事案件，可以根据相关要素并结合诉讼请求确定庭审顺序，围绕有争议的要素同步进行法庭调查和法庭辩论。</w:t>
      </w:r>
    </w:p>
    <w:p>
      <w:pPr>
        <w:spacing w:line="596" w:lineRule="exact"/>
        <w:ind w:firstLine="640" w:firstLineChars="200"/>
        <w:rPr>
          <w:rFonts w:ascii="Times New Roman" w:hAnsi="Times New Roman" w:eastAsia="仿宋_GB2312" w:cs="Times New Roman"/>
          <w:color w:val="000000"/>
          <w:sz w:val="32"/>
          <w:szCs w:val="32"/>
        </w:rPr>
      </w:pPr>
      <w:r>
        <w:rPr>
          <w:rFonts w:hint="eastAsia" w:ascii="黑体" w:hAnsi="黑体" w:eastAsia="黑体" w:cs="黑体"/>
          <w:color w:val="000000"/>
          <w:sz w:val="32"/>
          <w:szCs w:val="32"/>
        </w:rPr>
        <w:t>五、当事人最后陈述</w:t>
      </w:r>
    </w:p>
    <w:p>
      <w:pPr>
        <w:spacing w:line="596" w:lineRule="exact"/>
        <w:ind w:firstLine="640" w:firstLineChars="200"/>
        <w:rPr>
          <w:rFonts w:ascii="Times New Roman" w:hAnsi="Times New Roman" w:eastAsia="仿宋_GB2312" w:cs="Times New Roman"/>
          <w:color w:val="000000"/>
          <w:sz w:val="32"/>
          <w:szCs w:val="32"/>
        </w:rPr>
      </w:pPr>
      <w:r>
        <w:rPr>
          <w:rFonts w:hint="eastAsia" w:ascii="Times New Roman" w:hAnsi="Times New Roman" w:eastAsia="仿宋_GB2312" w:cs="Times New Roman"/>
          <w:color w:val="000000"/>
          <w:sz w:val="32"/>
          <w:szCs w:val="32"/>
        </w:rPr>
        <w:t>审判长或审理法官宣布法庭辩论结束后，由当事人陈述最后意见。</w:t>
      </w:r>
    </w:p>
    <w:p>
      <w:pPr>
        <w:spacing w:line="596" w:lineRule="exact"/>
        <w:ind w:firstLine="640" w:firstLineChars="200"/>
        <w:rPr>
          <w:rFonts w:ascii="Times New Roman" w:hAnsi="Times New Roman" w:eastAsia="仿宋_GB2312" w:cs="Times New Roman"/>
          <w:color w:val="000000"/>
          <w:sz w:val="32"/>
          <w:szCs w:val="32"/>
        </w:rPr>
      </w:pPr>
      <w:r>
        <w:rPr>
          <w:rFonts w:hint="eastAsia" w:ascii="黑体" w:hAnsi="黑体" w:eastAsia="黑体" w:cs="黑体"/>
          <w:color w:val="000000"/>
          <w:sz w:val="32"/>
          <w:szCs w:val="32"/>
        </w:rPr>
        <w:t>六、法庭调解</w:t>
      </w:r>
    </w:p>
    <w:p>
      <w:pPr>
        <w:spacing w:line="596" w:lineRule="exact"/>
        <w:ind w:firstLine="640" w:firstLineChars="200"/>
        <w:rPr>
          <w:rFonts w:ascii="Times New Roman" w:hAnsi="Times New Roman" w:eastAsia="仿宋_GB2312" w:cs="Times New Roman"/>
          <w:color w:val="000000"/>
          <w:sz w:val="32"/>
          <w:szCs w:val="32"/>
        </w:rPr>
      </w:pPr>
      <w:r>
        <w:rPr>
          <w:rFonts w:ascii="Times New Roman" w:hAnsi="Times New Roman" w:eastAsia="仿宋_GB2312" w:cs="Times New Roman"/>
          <w:color w:val="000000"/>
          <w:sz w:val="32"/>
          <w:szCs w:val="32"/>
        </w:rPr>
        <w:t>1</w:t>
      </w:r>
      <w:r>
        <w:rPr>
          <w:rFonts w:hint="eastAsia" w:ascii="Times New Roman" w:hAnsi="Times New Roman" w:eastAsia="仿宋_GB2312" w:cs="Times New Roman"/>
          <w:color w:val="000000"/>
          <w:sz w:val="32"/>
          <w:szCs w:val="32"/>
        </w:rPr>
        <w:t>、征求调解意愿并主持调解</w:t>
      </w:r>
    </w:p>
    <w:p>
      <w:pPr>
        <w:spacing w:line="596" w:lineRule="exact"/>
        <w:ind w:firstLine="640" w:firstLineChars="200"/>
        <w:rPr>
          <w:rFonts w:ascii="Times New Roman" w:hAnsi="Times New Roman" w:eastAsia="仿宋_GB2312" w:cs="Times New Roman"/>
          <w:color w:val="000000"/>
          <w:sz w:val="32"/>
          <w:szCs w:val="32"/>
        </w:rPr>
      </w:pPr>
      <w:r>
        <w:rPr>
          <w:rFonts w:hint="eastAsia" w:ascii="Times New Roman" w:hAnsi="Times New Roman" w:eastAsia="仿宋_GB2312" w:cs="Times New Roman"/>
          <w:color w:val="000000"/>
          <w:sz w:val="32"/>
          <w:szCs w:val="32"/>
        </w:rPr>
        <w:t>审判长或审理法官询问各方当事人是否愿意在法庭主持下进行调解。经确认各方当事人均有调解意愿的，主持在线调解。</w:t>
      </w:r>
    </w:p>
    <w:p>
      <w:pPr>
        <w:spacing w:line="596" w:lineRule="exact"/>
        <w:ind w:firstLine="640" w:firstLineChars="200"/>
        <w:rPr>
          <w:rFonts w:ascii="Times New Roman" w:hAnsi="Times New Roman" w:eastAsia="仿宋_GB2312" w:cs="Times New Roman"/>
          <w:color w:val="000000"/>
          <w:sz w:val="32"/>
          <w:szCs w:val="32"/>
        </w:rPr>
      </w:pPr>
      <w:r>
        <w:rPr>
          <w:rFonts w:hint="eastAsia" w:ascii="Times New Roman" w:hAnsi="Times New Roman" w:eastAsia="仿宋_GB2312" w:cs="Times New Roman"/>
          <w:color w:val="000000"/>
          <w:sz w:val="32"/>
          <w:szCs w:val="32"/>
        </w:rPr>
        <w:t>调解过程中，审判长或审理法官应当充分运用信用记录、相似案例等数据信息，引导双方在线协商。</w:t>
      </w:r>
    </w:p>
    <w:p>
      <w:pPr>
        <w:spacing w:line="596" w:lineRule="exact"/>
        <w:ind w:firstLine="640" w:firstLineChars="200"/>
        <w:rPr>
          <w:rFonts w:ascii="Times New Roman" w:hAnsi="Times New Roman" w:eastAsia="仿宋_GB2312" w:cs="Times New Roman"/>
          <w:color w:val="000000"/>
          <w:sz w:val="32"/>
          <w:szCs w:val="32"/>
        </w:rPr>
      </w:pPr>
      <w:r>
        <w:rPr>
          <w:rFonts w:hint="eastAsia" w:ascii="Times New Roman" w:hAnsi="Times New Roman" w:eastAsia="仿宋_GB2312" w:cs="Times New Roman"/>
          <w:color w:val="000000"/>
          <w:sz w:val="32"/>
          <w:szCs w:val="32"/>
        </w:rPr>
        <w:t>调解达成协议的，</w:t>
      </w:r>
      <w:r>
        <w:rPr>
          <w:rFonts w:ascii="Times New Roman" w:hAnsi="Times New Roman" w:eastAsia="仿宋_GB2312" w:cs="Times New Roman"/>
          <w:color w:val="000000"/>
          <w:sz w:val="32"/>
          <w:szCs w:val="32"/>
        </w:rPr>
        <w:t>经双方当事人同意，可通过诉讼平台在线确认调解协议内容。</w:t>
      </w:r>
    </w:p>
    <w:p>
      <w:pPr>
        <w:spacing w:line="596" w:lineRule="exact"/>
        <w:ind w:firstLine="640" w:firstLineChars="200"/>
        <w:rPr>
          <w:rFonts w:ascii="Times New Roman" w:hAnsi="Times New Roman" w:eastAsia="仿宋_GB2312" w:cs="Times New Roman"/>
          <w:color w:val="000000"/>
          <w:sz w:val="32"/>
          <w:szCs w:val="32"/>
        </w:rPr>
      </w:pPr>
      <w:r>
        <w:rPr>
          <w:rFonts w:hint="eastAsia" w:ascii="Times New Roman" w:hAnsi="Times New Roman" w:eastAsia="仿宋_GB2312" w:cs="Times New Roman"/>
          <w:color w:val="000000"/>
          <w:sz w:val="32"/>
          <w:szCs w:val="32"/>
        </w:rPr>
        <w:t>调解不成，或没有进一步调解必要或可能的，法庭调解结束。</w:t>
      </w:r>
    </w:p>
    <w:p>
      <w:pPr>
        <w:spacing w:line="596" w:lineRule="exact"/>
        <w:ind w:firstLine="640" w:firstLineChars="200"/>
        <w:rPr>
          <w:rFonts w:ascii="Times New Roman" w:hAnsi="Times New Roman" w:eastAsia="仿宋_GB2312" w:cs="Times New Roman"/>
          <w:color w:val="000000"/>
          <w:sz w:val="32"/>
          <w:szCs w:val="32"/>
        </w:rPr>
      </w:pPr>
      <w:r>
        <w:rPr>
          <w:rFonts w:hint="eastAsia" w:ascii="Times New Roman" w:hAnsi="Times New Roman" w:eastAsia="仿宋_GB2312" w:cs="Times New Roman"/>
          <w:color w:val="000000"/>
          <w:sz w:val="32"/>
          <w:szCs w:val="32"/>
        </w:rPr>
        <w:t>2、在线调解平台的引入</w:t>
      </w:r>
    </w:p>
    <w:p>
      <w:pPr>
        <w:spacing w:line="596" w:lineRule="exact"/>
        <w:ind w:firstLine="640" w:firstLineChars="200"/>
        <w:rPr>
          <w:rFonts w:ascii="Times New Roman" w:hAnsi="Times New Roman" w:eastAsia="仿宋_GB2312" w:cs="Times New Roman"/>
          <w:color w:val="000000"/>
          <w:sz w:val="32"/>
          <w:szCs w:val="32"/>
        </w:rPr>
      </w:pPr>
      <w:r>
        <w:rPr>
          <w:rFonts w:hint="eastAsia" w:ascii="Times New Roman" w:hAnsi="Times New Roman" w:eastAsia="仿宋_GB2312" w:cs="Times New Roman"/>
          <w:color w:val="000000"/>
          <w:sz w:val="32"/>
          <w:szCs w:val="32"/>
        </w:rPr>
        <w:t>当事人申请调解员远程视频调解的，审判长或审理法官应提供在线调解平台供调解使用，并向调解员发送庭审码和相似案例等数据信息。</w:t>
      </w:r>
    </w:p>
    <w:p>
      <w:pPr>
        <w:ind w:firstLine="560"/>
        <w:rPr>
          <w:rFonts w:ascii="Times New Roman" w:hAnsi="Times New Roman" w:eastAsia="仿宋_GB2312" w:cs="Times New Roman"/>
          <w:color w:val="000000"/>
          <w:sz w:val="32"/>
          <w:szCs w:val="32"/>
        </w:rPr>
      </w:pPr>
      <w:r>
        <w:rPr>
          <w:rFonts w:hint="eastAsia" w:ascii="黑体" w:hAnsi="黑体" w:eastAsia="黑体" w:cs="黑体"/>
          <w:color w:val="000000"/>
          <w:sz w:val="32"/>
          <w:szCs w:val="32"/>
          <w:lang w:eastAsia="zh-CN"/>
        </w:rPr>
        <w:t>七</w:t>
      </w:r>
      <w:r>
        <w:rPr>
          <w:rFonts w:hint="eastAsia" w:ascii="黑体" w:hAnsi="黑体" w:eastAsia="黑体" w:cs="黑体"/>
          <w:color w:val="000000"/>
          <w:sz w:val="32"/>
          <w:szCs w:val="32"/>
        </w:rPr>
        <w:t>、休庭或宣判并闭庭</w:t>
      </w:r>
    </w:p>
    <w:p>
      <w:pPr>
        <w:ind w:firstLine="560"/>
        <w:rPr>
          <w:rFonts w:ascii="Times New Roman" w:hAnsi="Times New Roman" w:eastAsia="仿宋_GB2312" w:cs="Times New Roman"/>
          <w:color w:val="000000"/>
          <w:sz w:val="32"/>
          <w:szCs w:val="32"/>
        </w:rPr>
      </w:pPr>
      <w:r>
        <w:rPr>
          <w:rFonts w:hint="eastAsia" w:ascii="Times New Roman" w:hAnsi="Times New Roman" w:eastAsia="仿宋_GB2312" w:cs="Times New Roman"/>
          <w:color w:val="000000"/>
          <w:sz w:val="32"/>
          <w:szCs w:val="32"/>
        </w:rPr>
        <w:t>对案件事实、法律适用、实体处理当事人均无争议或争议不大的案件，原则上应当当庭宣判。案件当庭宣判的，审判长或审理法官应当充分考虑当事人信用记录、相似案例等数据信息确定判决结果，并当庭宣布，征询双方意见后宣布闭庭。</w:t>
      </w:r>
    </w:p>
    <w:p>
      <w:pPr>
        <w:ind w:firstLine="560"/>
        <w:rPr>
          <w:rFonts w:ascii="Times New Roman" w:hAnsi="Times New Roman" w:eastAsia="仿宋_GB2312" w:cs="Times New Roman"/>
          <w:color w:val="000000"/>
          <w:sz w:val="32"/>
          <w:szCs w:val="32"/>
        </w:rPr>
      </w:pPr>
      <w:r>
        <w:rPr>
          <w:rFonts w:hint="eastAsia" w:ascii="Times New Roman" w:hAnsi="Times New Roman" w:eastAsia="仿宋_GB2312" w:cs="Times New Roman"/>
          <w:color w:val="000000"/>
          <w:sz w:val="32"/>
          <w:szCs w:val="32"/>
        </w:rPr>
        <w:t>案件不能当庭宣判的，审判长或审理法官宣布休庭并敲击法槌，告知当事人宣判时间，或者交待宣判时间另行通知。</w:t>
      </w:r>
    </w:p>
    <w:p>
      <w:pPr>
        <w:spacing w:line="596" w:lineRule="exact"/>
        <w:ind w:firstLine="640" w:firstLineChars="200"/>
        <w:rPr>
          <w:rFonts w:hint="eastAsia" w:ascii="Times New Roman" w:hAnsi="Times New Roman" w:eastAsia="仿宋_GB2312" w:cs="Times New Roman"/>
          <w:color w:val="000000"/>
          <w:sz w:val="32"/>
          <w:szCs w:val="32"/>
        </w:rPr>
      </w:pPr>
      <w:r>
        <w:rPr>
          <w:rFonts w:hint="eastAsia" w:ascii="Times New Roman" w:hAnsi="Times New Roman" w:eastAsia="仿宋_GB2312" w:cs="Times New Roman"/>
          <w:color w:val="000000"/>
          <w:sz w:val="32"/>
          <w:szCs w:val="32"/>
        </w:rPr>
        <w:t>休庭或闭庭后，</w:t>
      </w:r>
      <w:r>
        <w:rPr>
          <w:rFonts w:ascii="Times New Roman" w:hAnsi="Times New Roman" w:eastAsia="仿宋_GB2312" w:cs="Times New Roman"/>
          <w:color w:val="000000"/>
          <w:sz w:val="32"/>
          <w:szCs w:val="32"/>
        </w:rPr>
        <w:t>双方当事人可进行</w:t>
      </w:r>
      <w:r>
        <w:rPr>
          <w:rFonts w:hint="eastAsia" w:ascii="Times New Roman" w:hAnsi="Times New Roman" w:eastAsia="仿宋_GB2312" w:cs="Times New Roman"/>
          <w:color w:val="000000"/>
          <w:sz w:val="32"/>
          <w:szCs w:val="32"/>
        </w:rPr>
        <w:t>在线</w:t>
      </w:r>
      <w:r>
        <w:rPr>
          <w:rFonts w:ascii="Times New Roman" w:hAnsi="Times New Roman" w:eastAsia="仿宋_GB2312" w:cs="Times New Roman"/>
          <w:color w:val="000000"/>
          <w:sz w:val="32"/>
          <w:szCs w:val="32"/>
        </w:rPr>
        <w:t>阅读、核对</w:t>
      </w:r>
      <w:r>
        <w:rPr>
          <w:rFonts w:hint="eastAsia" w:ascii="Times New Roman" w:hAnsi="Times New Roman" w:eastAsia="仿宋_GB2312" w:cs="Times New Roman"/>
          <w:color w:val="000000"/>
          <w:sz w:val="32"/>
          <w:szCs w:val="32"/>
        </w:rPr>
        <w:t>庭审笔录</w:t>
      </w:r>
      <w:r>
        <w:rPr>
          <w:rFonts w:ascii="Times New Roman" w:hAnsi="Times New Roman" w:eastAsia="仿宋_GB2312" w:cs="Times New Roman"/>
          <w:color w:val="000000"/>
          <w:sz w:val="32"/>
          <w:szCs w:val="32"/>
        </w:rPr>
        <w:t>，如果需要修改补正，可通过实时画面告知书记员，由书记员进行修改。各方当事人都修改补正完毕并点击确认、书记员保存笔录后，点击“结束庭审”，各方当事人退出庭审</w:t>
      </w:r>
      <w:r>
        <w:rPr>
          <w:rFonts w:hint="eastAsia" w:ascii="Times New Roman" w:hAnsi="Times New Roman" w:eastAsia="仿宋_GB2312" w:cs="Times New Roman"/>
          <w:color w:val="000000"/>
          <w:sz w:val="32"/>
          <w:szCs w:val="32"/>
        </w:rPr>
        <w:t>。</w:t>
      </w:r>
    </w:p>
    <w:p>
      <w:pPr>
        <w:spacing w:line="596" w:lineRule="exact"/>
        <w:ind w:firstLine="640" w:firstLineChars="200"/>
        <w:rPr>
          <w:rFonts w:ascii="Times New Roman" w:hAnsi="Times New Roman" w:eastAsia="仿宋_GB2312" w:cs="Times New Roman"/>
          <w:color w:val="000000"/>
          <w:sz w:val="32"/>
          <w:szCs w:val="32"/>
        </w:rPr>
      </w:pPr>
      <w:r>
        <w:rPr>
          <w:rFonts w:hint="eastAsia" w:ascii="Times New Roman" w:hAnsi="Times New Roman" w:eastAsia="仿宋_GB2312" w:cs="仿宋_GB2312"/>
          <w:sz w:val="32"/>
          <w:szCs w:val="32"/>
        </w:rPr>
        <w:t>以录音录像替代庭审笔录的，审理法官或司法辅助人员书记员保存录音录像后，审理法官点击</w:t>
      </w:r>
      <w:r>
        <w:rPr>
          <w:rFonts w:ascii="Times New Roman" w:hAnsi="Times New Roman" w:eastAsia="仿宋_GB2312" w:cs="Times New Roman"/>
          <w:sz w:val="32"/>
          <w:szCs w:val="32"/>
        </w:rPr>
        <w:t>“</w:t>
      </w:r>
      <w:r>
        <w:rPr>
          <w:rFonts w:hint="eastAsia" w:ascii="Times New Roman" w:hAnsi="Times New Roman" w:eastAsia="仿宋_GB2312" w:cs="仿宋_GB2312"/>
          <w:sz w:val="32"/>
          <w:szCs w:val="32"/>
        </w:rPr>
        <w:t>结束庭审</w:t>
      </w:r>
      <w:r>
        <w:rPr>
          <w:rFonts w:ascii="Times New Roman" w:hAnsi="Times New Roman" w:eastAsia="仿宋_GB2312" w:cs="Times New Roman"/>
          <w:sz w:val="32"/>
          <w:szCs w:val="32"/>
        </w:rPr>
        <w:t>”</w:t>
      </w:r>
      <w:r>
        <w:rPr>
          <w:rFonts w:hint="eastAsia" w:ascii="Times New Roman" w:hAnsi="Times New Roman" w:eastAsia="仿宋_GB2312" w:cs="仿宋_GB2312"/>
          <w:sz w:val="32"/>
          <w:szCs w:val="32"/>
        </w:rPr>
        <w:t>，各方当事人退出庭审。</w:t>
      </w:r>
    </w:p>
    <w:p>
      <w:pPr>
        <w:spacing w:line="596" w:lineRule="exact"/>
        <w:ind w:firstLine="640" w:firstLineChars="200"/>
        <w:rPr>
          <w:rFonts w:ascii="Times New Roman" w:hAnsi="Times New Roman" w:eastAsia="仿宋_GB2312" w:cs="Times New Roman"/>
          <w:color w:val="000000"/>
          <w:sz w:val="32"/>
          <w:szCs w:val="32"/>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华文中宋">
    <w:altName w:val="宋体"/>
    <w:panose1 w:val="02010600040101010101"/>
    <w:charset w:val="86"/>
    <w:family w:val="auto"/>
    <w:pitch w:val="default"/>
    <w:sig w:usb0="00000000" w:usb1="00000000" w:usb2="00000010" w:usb3="00000000" w:csb0="0004009F" w:csb1="00000000"/>
  </w:font>
  <w:font w:name="楷体">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00" w:usb3="00000000" w:csb0="00040000" w:csb1="00000000"/>
  </w:font>
  <w:font w:name="Arial">
    <w:panose1 w:val="020B0604020202020204"/>
    <w:charset w:val="00"/>
    <w:family w:val="auto"/>
    <w:pitch w:val="default"/>
    <w:sig w:usb0="E0002AFF" w:usb1="C0007843" w:usb2="00000009" w:usb3="00000000" w:csb0="400001FF" w:csb1="FFFF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128214"/>
    </w:sdtPr>
    <w:sdtContent>
      <w:p>
        <w:pPr>
          <w:pStyle w:val="5"/>
          <w:jc w:val="center"/>
        </w:pPr>
        <w:r>
          <w:fldChar w:fldCharType="begin"/>
        </w:r>
        <w:r>
          <w:instrText xml:space="preserve"> PAGE   \* MERGEFORMAT </w:instrText>
        </w:r>
        <w:r>
          <w:fldChar w:fldCharType="separate"/>
        </w:r>
        <w:r>
          <w:rPr>
            <w:lang w:val="zh-CN"/>
          </w:rPr>
          <w:t>6</w:t>
        </w:r>
        <w:r>
          <w:rPr>
            <w:lang w:val="zh-CN"/>
          </w:rPr>
          <w:fldChar w:fldCharType="end"/>
        </w:r>
      </w:p>
    </w:sdtContent>
  </w:sdt>
  <w:p>
    <w:pPr>
      <w:pStyle w:val="5"/>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F367C0"/>
    <w:rsid w:val="00044906"/>
    <w:rsid w:val="000738C9"/>
    <w:rsid w:val="00076FA2"/>
    <w:rsid w:val="000868E7"/>
    <w:rsid w:val="000A179E"/>
    <w:rsid w:val="000C05D1"/>
    <w:rsid w:val="000E7B07"/>
    <w:rsid w:val="000F508B"/>
    <w:rsid w:val="000F5DB0"/>
    <w:rsid w:val="000F7F4A"/>
    <w:rsid w:val="00107C5F"/>
    <w:rsid w:val="00147A92"/>
    <w:rsid w:val="0016393A"/>
    <w:rsid w:val="0017305D"/>
    <w:rsid w:val="00181025"/>
    <w:rsid w:val="001A60CE"/>
    <w:rsid w:val="001B45A1"/>
    <w:rsid w:val="00207E31"/>
    <w:rsid w:val="00221B71"/>
    <w:rsid w:val="00256E8E"/>
    <w:rsid w:val="00272512"/>
    <w:rsid w:val="002736EF"/>
    <w:rsid w:val="002C4239"/>
    <w:rsid w:val="002F539A"/>
    <w:rsid w:val="003005BF"/>
    <w:rsid w:val="00324FB9"/>
    <w:rsid w:val="003338F0"/>
    <w:rsid w:val="00360BFB"/>
    <w:rsid w:val="00362F5C"/>
    <w:rsid w:val="00392015"/>
    <w:rsid w:val="003B7711"/>
    <w:rsid w:val="003F7FDB"/>
    <w:rsid w:val="004002B9"/>
    <w:rsid w:val="004221C0"/>
    <w:rsid w:val="004333DF"/>
    <w:rsid w:val="00433E90"/>
    <w:rsid w:val="004475B3"/>
    <w:rsid w:val="00453A0C"/>
    <w:rsid w:val="00466BE8"/>
    <w:rsid w:val="004906E4"/>
    <w:rsid w:val="00495F80"/>
    <w:rsid w:val="004A58C0"/>
    <w:rsid w:val="004B74C8"/>
    <w:rsid w:val="004D57C5"/>
    <w:rsid w:val="004F23C7"/>
    <w:rsid w:val="0050054F"/>
    <w:rsid w:val="00500EE4"/>
    <w:rsid w:val="00503A67"/>
    <w:rsid w:val="005341B3"/>
    <w:rsid w:val="005C73A1"/>
    <w:rsid w:val="005D0305"/>
    <w:rsid w:val="005D2E6B"/>
    <w:rsid w:val="005D7EC5"/>
    <w:rsid w:val="005F40A7"/>
    <w:rsid w:val="00631B06"/>
    <w:rsid w:val="00636417"/>
    <w:rsid w:val="00652687"/>
    <w:rsid w:val="0066559C"/>
    <w:rsid w:val="00670BD4"/>
    <w:rsid w:val="00681D2E"/>
    <w:rsid w:val="006A328E"/>
    <w:rsid w:val="006B3B33"/>
    <w:rsid w:val="006C16B2"/>
    <w:rsid w:val="006D2F6B"/>
    <w:rsid w:val="006E3871"/>
    <w:rsid w:val="007035E1"/>
    <w:rsid w:val="00703CED"/>
    <w:rsid w:val="007259FB"/>
    <w:rsid w:val="0074145A"/>
    <w:rsid w:val="00767C7F"/>
    <w:rsid w:val="007757AA"/>
    <w:rsid w:val="007B6BC2"/>
    <w:rsid w:val="007E102F"/>
    <w:rsid w:val="007F0BC1"/>
    <w:rsid w:val="00816911"/>
    <w:rsid w:val="00822B9D"/>
    <w:rsid w:val="00841F2C"/>
    <w:rsid w:val="008461AB"/>
    <w:rsid w:val="008A0A3E"/>
    <w:rsid w:val="008C084B"/>
    <w:rsid w:val="008D65CE"/>
    <w:rsid w:val="008E099A"/>
    <w:rsid w:val="00961E8E"/>
    <w:rsid w:val="00995329"/>
    <w:rsid w:val="009A576D"/>
    <w:rsid w:val="009B26DA"/>
    <w:rsid w:val="009B4A4A"/>
    <w:rsid w:val="009C51EA"/>
    <w:rsid w:val="009D2528"/>
    <w:rsid w:val="009E0339"/>
    <w:rsid w:val="009E1E16"/>
    <w:rsid w:val="009E7A6A"/>
    <w:rsid w:val="009E7D5C"/>
    <w:rsid w:val="00A062AA"/>
    <w:rsid w:val="00A1324E"/>
    <w:rsid w:val="00A45032"/>
    <w:rsid w:val="00A86C29"/>
    <w:rsid w:val="00AA4DFA"/>
    <w:rsid w:val="00AC60B2"/>
    <w:rsid w:val="00AE3B2A"/>
    <w:rsid w:val="00B21933"/>
    <w:rsid w:val="00B40AB1"/>
    <w:rsid w:val="00B510DA"/>
    <w:rsid w:val="00B52E16"/>
    <w:rsid w:val="00B547BC"/>
    <w:rsid w:val="00B711CC"/>
    <w:rsid w:val="00B850F2"/>
    <w:rsid w:val="00B93903"/>
    <w:rsid w:val="00BA0BE3"/>
    <w:rsid w:val="00BA1870"/>
    <w:rsid w:val="00BA63D2"/>
    <w:rsid w:val="00BD4536"/>
    <w:rsid w:val="00BD6155"/>
    <w:rsid w:val="00C25E5E"/>
    <w:rsid w:val="00C3611A"/>
    <w:rsid w:val="00C36992"/>
    <w:rsid w:val="00C6106D"/>
    <w:rsid w:val="00C97BAC"/>
    <w:rsid w:val="00CA7F71"/>
    <w:rsid w:val="00CC26E3"/>
    <w:rsid w:val="00CE5944"/>
    <w:rsid w:val="00CE63D2"/>
    <w:rsid w:val="00D016B9"/>
    <w:rsid w:val="00D02890"/>
    <w:rsid w:val="00D04625"/>
    <w:rsid w:val="00D41DA6"/>
    <w:rsid w:val="00D53B69"/>
    <w:rsid w:val="00D63753"/>
    <w:rsid w:val="00D66B10"/>
    <w:rsid w:val="00D91037"/>
    <w:rsid w:val="00DE7731"/>
    <w:rsid w:val="00DF4DF1"/>
    <w:rsid w:val="00E26138"/>
    <w:rsid w:val="00E50C0F"/>
    <w:rsid w:val="00E534EE"/>
    <w:rsid w:val="00E65C46"/>
    <w:rsid w:val="00E82EDC"/>
    <w:rsid w:val="00E85A19"/>
    <w:rsid w:val="00EC7D28"/>
    <w:rsid w:val="00ED07BF"/>
    <w:rsid w:val="00ED14FB"/>
    <w:rsid w:val="00EE7470"/>
    <w:rsid w:val="00F130B7"/>
    <w:rsid w:val="00F367C0"/>
    <w:rsid w:val="00F41B2F"/>
    <w:rsid w:val="00F524B3"/>
    <w:rsid w:val="00F55969"/>
    <w:rsid w:val="00F6530C"/>
    <w:rsid w:val="00F82112"/>
    <w:rsid w:val="00FA454F"/>
    <w:rsid w:val="00FE21D0"/>
    <w:rsid w:val="00FE4B88"/>
    <w:rsid w:val="09E8037E"/>
    <w:rsid w:val="0E971340"/>
    <w:rsid w:val="1357640B"/>
    <w:rsid w:val="197B740F"/>
    <w:rsid w:val="292B0BBD"/>
    <w:rsid w:val="50B27ABC"/>
    <w:rsid w:val="51C84425"/>
    <w:rsid w:val="64BB24E8"/>
    <w:rsid w:val="6C1059E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Calibri"/>
      <w:kern w:val="2"/>
      <w:sz w:val="21"/>
      <w:szCs w:val="21"/>
      <w:lang w:val="en-US" w:eastAsia="zh-CN" w:bidi="ar-SA"/>
    </w:rPr>
  </w:style>
  <w:style w:type="character" w:default="1" w:styleId="7">
    <w:name w:val="Default Paragraph Font"/>
    <w:unhideWhenUsed/>
    <w:qFormat/>
    <w:uiPriority w:val="1"/>
  </w:style>
  <w:style w:type="table" w:default="1" w:styleId="9">
    <w:name w:val="Normal Table"/>
    <w:unhideWhenUsed/>
    <w:qFormat/>
    <w:uiPriority w:val="99"/>
    <w:tblPr>
      <w:tblLayout w:type="fixed"/>
      <w:tblCellMar>
        <w:top w:w="0" w:type="dxa"/>
        <w:left w:w="108" w:type="dxa"/>
        <w:bottom w:w="0" w:type="dxa"/>
        <w:right w:w="108" w:type="dxa"/>
      </w:tblCellMar>
    </w:tblPr>
  </w:style>
  <w:style w:type="paragraph" w:styleId="2">
    <w:name w:val="annotation subject"/>
    <w:basedOn w:val="3"/>
    <w:next w:val="3"/>
    <w:link w:val="14"/>
    <w:unhideWhenUsed/>
    <w:qFormat/>
    <w:uiPriority w:val="99"/>
    <w:rPr>
      <w:b/>
      <w:bCs/>
    </w:rPr>
  </w:style>
  <w:style w:type="paragraph" w:styleId="3">
    <w:name w:val="annotation text"/>
    <w:basedOn w:val="1"/>
    <w:link w:val="13"/>
    <w:unhideWhenUsed/>
    <w:qFormat/>
    <w:uiPriority w:val="99"/>
    <w:pPr>
      <w:jc w:val="left"/>
    </w:pPr>
  </w:style>
  <w:style w:type="paragraph" w:styleId="4">
    <w:name w:val="Balloon Text"/>
    <w:basedOn w:val="1"/>
    <w:link w:val="12"/>
    <w:unhideWhenUsed/>
    <w:qFormat/>
    <w:uiPriority w:val="99"/>
    <w:rPr>
      <w:sz w:val="18"/>
      <w:szCs w:val="18"/>
    </w:rPr>
  </w:style>
  <w:style w:type="paragraph" w:styleId="5">
    <w:name w:val="footer"/>
    <w:basedOn w:val="1"/>
    <w:link w:val="11"/>
    <w:unhideWhenUsed/>
    <w:qFormat/>
    <w:uiPriority w:val="99"/>
    <w:pPr>
      <w:tabs>
        <w:tab w:val="center" w:pos="4153"/>
        <w:tab w:val="right" w:pos="8306"/>
      </w:tabs>
      <w:snapToGrid w:val="0"/>
      <w:jc w:val="left"/>
    </w:pPr>
    <w:rPr>
      <w:sz w:val="18"/>
      <w:szCs w:val="18"/>
    </w:rPr>
  </w:style>
  <w:style w:type="paragraph" w:styleId="6">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annotation reference"/>
    <w:basedOn w:val="7"/>
    <w:unhideWhenUsed/>
    <w:qFormat/>
    <w:uiPriority w:val="99"/>
    <w:rPr>
      <w:sz w:val="21"/>
      <w:szCs w:val="21"/>
    </w:rPr>
  </w:style>
  <w:style w:type="character" w:customStyle="1" w:styleId="10">
    <w:name w:val="页眉 Char"/>
    <w:basedOn w:val="7"/>
    <w:link w:val="6"/>
    <w:semiHidden/>
    <w:qFormat/>
    <w:uiPriority w:val="99"/>
    <w:rPr>
      <w:rFonts w:ascii="Calibri" w:hAnsi="Calibri" w:eastAsia="宋体" w:cs="Calibri"/>
      <w:sz w:val="18"/>
      <w:szCs w:val="18"/>
    </w:rPr>
  </w:style>
  <w:style w:type="character" w:customStyle="1" w:styleId="11">
    <w:name w:val="页脚 Char"/>
    <w:basedOn w:val="7"/>
    <w:link w:val="5"/>
    <w:qFormat/>
    <w:uiPriority w:val="99"/>
    <w:rPr>
      <w:rFonts w:ascii="Calibri" w:hAnsi="Calibri" w:eastAsia="宋体" w:cs="Calibri"/>
      <w:sz w:val="18"/>
      <w:szCs w:val="18"/>
    </w:rPr>
  </w:style>
  <w:style w:type="character" w:customStyle="1" w:styleId="12">
    <w:name w:val="批注框文本 Char"/>
    <w:basedOn w:val="7"/>
    <w:link w:val="4"/>
    <w:semiHidden/>
    <w:qFormat/>
    <w:uiPriority w:val="99"/>
    <w:rPr>
      <w:rFonts w:ascii="Calibri" w:hAnsi="Calibri" w:eastAsia="宋体" w:cs="Calibri"/>
      <w:sz w:val="18"/>
      <w:szCs w:val="18"/>
    </w:rPr>
  </w:style>
  <w:style w:type="character" w:customStyle="1" w:styleId="13">
    <w:name w:val="批注文字 Char"/>
    <w:basedOn w:val="7"/>
    <w:link w:val="3"/>
    <w:semiHidden/>
    <w:qFormat/>
    <w:uiPriority w:val="99"/>
    <w:rPr>
      <w:rFonts w:ascii="Calibri" w:hAnsi="Calibri" w:eastAsia="宋体" w:cs="Calibri"/>
      <w:szCs w:val="21"/>
    </w:rPr>
  </w:style>
  <w:style w:type="character" w:customStyle="1" w:styleId="14">
    <w:name w:val="批注主题 Char"/>
    <w:basedOn w:val="13"/>
    <w:link w:val="2"/>
    <w:semiHidden/>
    <w:qFormat/>
    <w:uiPriority w:val="99"/>
    <w:rPr>
      <w:rFonts w:ascii="Calibri" w:hAnsi="Calibri" w:eastAsia="宋体" w:cs="Calibri"/>
      <w:b/>
      <w:bCs/>
      <w:szCs w:val="21"/>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9CFFC75-BC50-40B4-B286-5FEAE5413840}">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7</Pages>
  <Words>408</Words>
  <Characters>2331</Characters>
  <Lines>19</Lines>
  <Paragraphs>5</Paragraphs>
  <ScaleCrop>false</ScaleCrop>
  <LinksUpToDate>false</LinksUpToDate>
  <CharactersWithSpaces>2734</CharactersWithSpaces>
  <Application>WPS Office_10.1.0.6554_F1E327BC-269C-435d-A152-05C5408002CA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2017-08-03T08:46:00Z</dcterms:created>
  <dc:creator>fating</dc:creator>
  <cp:lastModifiedBy>Administrator</cp:lastModifiedBy>
  <cp:lastPrinted>2017-06-16T03:06:00Z</cp:lastPrinted>
  <dcterms:modified xsi:type="dcterms:W3CDTF">2017-08-08T10:51:28Z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2052-10.1.0.6554</vt:lpwstr>
  </property>
</Properties>
</file>