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7B321B" w14:textId="77777777" w:rsidR="00160EEC" w:rsidRPr="00E07EF3" w:rsidRDefault="00160EEC" w:rsidP="00E07EF3">
      <w:pPr>
        <w:spacing w:line="360" w:lineRule="auto"/>
        <w:jc w:val="center"/>
        <w:rPr>
          <w:rFonts w:ascii="宋体" w:hAnsi="宋体" w:hint="eastAsia"/>
          <w:b/>
          <w:sz w:val="30"/>
          <w:szCs w:val="30"/>
        </w:rPr>
      </w:pPr>
      <w:r w:rsidRPr="00E07EF3">
        <w:rPr>
          <w:rFonts w:ascii="宋体" w:hAnsi="宋体" w:hint="eastAsia"/>
          <w:b/>
          <w:sz w:val="30"/>
          <w:szCs w:val="30"/>
        </w:rPr>
        <w:t>北京市司法鉴定协会</w:t>
      </w:r>
    </w:p>
    <w:p w14:paraId="273DDD39" w14:textId="77777777" w:rsidR="00374DAC" w:rsidRPr="00E07EF3" w:rsidRDefault="00160EEC" w:rsidP="00E07EF3">
      <w:pPr>
        <w:spacing w:line="360" w:lineRule="auto"/>
        <w:jc w:val="center"/>
        <w:rPr>
          <w:rFonts w:ascii="宋体" w:hAnsi="宋体" w:hint="eastAsia"/>
          <w:b/>
          <w:sz w:val="30"/>
          <w:szCs w:val="30"/>
        </w:rPr>
      </w:pPr>
      <w:r w:rsidRPr="00E07EF3">
        <w:rPr>
          <w:rFonts w:ascii="宋体" w:hAnsi="宋体" w:hint="eastAsia"/>
          <w:b/>
          <w:sz w:val="30"/>
          <w:szCs w:val="30"/>
        </w:rPr>
        <w:t>关于印发《电子数据司法鉴定操作规范（试行）》的通知</w:t>
      </w:r>
    </w:p>
    <w:p w14:paraId="0B5C9C04" w14:textId="77777777" w:rsidR="00374DAC" w:rsidRPr="00374DAC" w:rsidRDefault="00160EEC" w:rsidP="00E07EF3">
      <w:pPr>
        <w:spacing w:line="360" w:lineRule="auto"/>
        <w:jc w:val="center"/>
        <w:rPr>
          <w:rFonts w:ascii="宋体" w:hAnsi="宋体" w:hint="eastAsia"/>
          <w:sz w:val="24"/>
        </w:rPr>
      </w:pPr>
      <w:r w:rsidRPr="00374DAC">
        <w:rPr>
          <w:rFonts w:ascii="宋体" w:hAnsi="宋体" w:hint="eastAsia"/>
          <w:sz w:val="24"/>
        </w:rPr>
        <w:t>京司鉴协发[2010]2号</w:t>
      </w:r>
    </w:p>
    <w:p w14:paraId="7ADA03CA" w14:textId="77777777" w:rsidR="00E07EF3" w:rsidRDefault="00E07EF3" w:rsidP="00E07EF3">
      <w:pPr>
        <w:spacing w:line="360" w:lineRule="auto"/>
        <w:rPr>
          <w:rFonts w:ascii="宋体" w:hAnsi="宋体" w:hint="eastAsia"/>
          <w:sz w:val="24"/>
        </w:rPr>
      </w:pPr>
    </w:p>
    <w:p w14:paraId="18D06162" w14:textId="77777777" w:rsidR="00374DAC" w:rsidRPr="00374DAC" w:rsidRDefault="00160EEC" w:rsidP="00E07EF3">
      <w:pPr>
        <w:spacing w:line="360" w:lineRule="auto"/>
        <w:rPr>
          <w:rFonts w:ascii="宋体" w:hAnsi="宋体" w:hint="eastAsia"/>
          <w:sz w:val="24"/>
        </w:rPr>
      </w:pPr>
      <w:r w:rsidRPr="00374DAC">
        <w:rPr>
          <w:rFonts w:ascii="宋体" w:hAnsi="宋体" w:hint="eastAsia"/>
          <w:sz w:val="24"/>
        </w:rPr>
        <w:t>各相关会员单位：</w:t>
      </w:r>
    </w:p>
    <w:p w14:paraId="0D34AFF7" w14:textId="77777777" w:rsidR="00374DA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《电子数据司法鉴定操作规范(试行)》已经北京司法鉴定业协会第一届理事会第七次会议通过，现印发给你们。自</w:t>
      </w:r>
      <w:smartTag w:uri="urn:schemas-microsoft-com:office:smarttags" w:element="chsdate">
        <w:smartTagPr>
          <w:attr w:name="Year" w:val="2010"/>
          <w:attr w:name="Month" w:val="3"/>
          <w:attr w:name="Day" w:val="1"/>
          <w:attr w:name="IsLunarDate" w:val="False"/>
          <w:attr w:name="IsROCDate" w:val="False"/>
        </w:smartTagPr>
        <w:r w:rsidRPr="00374DAC">
          <w:rPr>
            <w:rFonts w:ascii="宋体" w:hAnsi="宋体" w:hint="eastAsia"/>
            <w:sz w:val="24"/>
          </w:rPr>
          <w:t>2010年3月1日起</w:t>
        </w:r>
      </w:smartTag>
      <w:r w:rsidRPr="00374DAC">
        <w:rPr>
          <w:rFonts w:ascii="宋体" w:hAnsi="宋体" w:hint="eastAsia"/>
          <w:sz w:val="24"/>
        </w:rPr>
        <w:t>，在办理电子数据司法鉴定案件中，建议参照本《规范》执行。</w:t>
      </w:r>
    </w:p>
    <w:p w14:paraId="394F5585" w14:textId="77777777" w:rsidR="00374DAC" w:rsidRPr="00374DAC" w:rsidRDefault="00160EEC" w:rsidP="00E07EF3">
      <w:pPr>
        <w:spacing w:line="360" w:lineRule="auto"/>
        <w:ind w:firstLineChars="2000" w:firstLine="4800"/>
        <w:rPr>
          <w:rFonts w:ascii="宋体" w:hAnsi="宋体" w:hint="eastAsia"/>
          <w:sz w:val="24"/>
        </w:rPr>
      </w:pPr>
      <w:smartTag w:uri="urn:schemas-microsoft-com:office:smarttags" w:element="chsdate">
        <w:smartTagPr>
          <w:attr w:name="Year" w:val="2010"/>
          <w:attr w:name="Month" w:val="2"/>
          <w:attr w:name="Day" w:val="25"/>
          <w:attr w:name="IsLunarDate" w:val="False"/>
          <w:attr w:name="IsROCDate" w:val="False"/>
        </w:smartTagPr>
        <w:r w:rsidRPr="00374DAC">
          <w:rPr>
            <w:rFonts w:ascii="宋体" w:hAnsi="宋体" w:hint="eastAsia"/>
            <w:sz w:val="24"/>
          </w:rPr>
          <w:t>二〇一〇年二月二十五日</w:t>
        </w:r>
      </w:smartTag>
    </w:p>
    <w:p w14:paraId="3390B166" w14:textId="77777777" w:rsidR="00160EEC" w:rsidRPr="00E07EF3" w:rsidRDefault="00160EEC" w:rsidP="00E07EF3">
      <w:pPr>
        <w:spacing w:beforeLines="100" w:before="312" w:line="360" w:lineRule="auto"/>
        <w:jc w:val="center"/>
        <w:rPr>
          <w:rFonts w:ascii="宋体" w:hAnsi="宋体" w:hint="eastAsia"/>
          <w:b/>
          <w:sz w:val="30"/>
          <w:szCs w:val="30"/>
        </w:rPr>
      </w:pPr>
      <w:r w:rsidRPr="00E07EF3">
        <w:rPr>
          <w:rFonts w:ascii="宋体" w:hAnsi="宋体" w:hint="eastAsia"/>
          <w:b/>
          <w:sz w:val="30"/>
          <w:szCs w:val="30"/>
        </w:rPr>
        <w:t>电子数据司法鉴定操作规范</w:t>
      </w:r>
    </w:p>
    <w:p w14:paraId="50F266FA"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1.范围</w:t>
      </w:r>
    </w:p>
    <w:p w14:paraId="7E656540"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本规范规定了电子数据司法鉴定的操作原则，提出了电子数据司法鉴定的操作、设备、鉴定方法选择及实施环境等要求，针对电子数据司法鉴定流程中所涉及的检材接收保管、审核、鉴定委托书的签订、鉴定实施、鉴定文书的出具等各个过程进行了综合性描述和规范。</w:t>
      </w:r>
    </w:p>
    <w:p w14:paraId="12EA3FB0"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本规范适用于电子数据司法鉴定机构和鉴定人员从事司法鉴定相关业务的活动。</w:t>
      </w:r>
    </w:p>
    <w:p w14:paraId="3F9A0B18"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2.规范性引用文件</w:t>
      </w:r>
    </w:p>
    <w:p w14:paraId="13A86E7D"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GB 50073－2001  《国家标准—洁净厂房设计规范》</w:t>
      </w:r>
    </w:p>
    <w:p w14:paraId="3FA371EC"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GB 50174－1993  《电子计算机机房设计规范》</w:t>
      </w:r>
    </w:p>
    <w:p w14:paraId="7C5653A1"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3.术语和定义</w:t>
      </w:r>
    </w:p>
    <w:p w14:paraId="16D35315"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3.1</w:t>
      </w:r>
      <w:r w:rsidR="00E07EF3">
        <w:rPr>
          <w:rFonts w:ascii="宋体" w:hAnsi="宋体" w:hint="eastAsia"/>
          <w:sz w:val="24"/>
        </w:rPr>
        <w:t xml:space="preserve"> </w:t>
      </w:r>
      <w:r w:rsidRPr="00374DAC">
        <w:rPr>
          <w:rFonts w:ascii="宋体" w:hAnsi="宋体" w:hint="eastAsia"/>
          <w:sz w:val="24"/>
        </w:rPr>
        <w:t>电子数据</w:t>
      </w:r>
    </w:p>
    <w:p w14:paraId="44270F64"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基于计算机应用和通信等电子化技术手段形成的客观资料，用以表示文字、图形符号、数字、字母等信息，包括以电子形式存储或传输的静态数据和动态数据。</w:t>
      </w:r>
    </w:p>
    <w:p w14:paraId="2986431A"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3.2</w:t>
      </w:r>
      <w:r w:rsidR="00E07EF3">
        <w:rPr>
          <w:rFonts w:ascii="宋体" w:hAnsi="宋体" w:hint="eastAsia"/>
          <w:sz w:val="24"/>
        </w:rPr>
        <w:t xml:space="preserve"> </w:t>
      </w:r>
      <w:r w:rsidRPr="00374DAC">
        <w:rPr>
          <w:rFonts w:ascii="宋体" w:hAnsi="宋体" w:hint="eastAsia"/>
          <w:sz w:val="24"/>
        </w:rPr>
        <w:t>存储介质</w:t>
      </w:r>
    </w:p>
    <w:p w14:paraId="1EC8F2C5"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承载电子数据的电磁介质或者光记录介质。</w:t>
      </w:r>
    </w:p>
    <w:p w14:paraId="1E163D7F"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示例：常用存储介质包括硬盘、光盘、闪存等。</w:t>
      </w:r>
    </w:p>
    <w:p w14:paraId="5641E104"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lastRenderedPageBreak/>
        <w:t>3.3</w:t>
      </w:r>
      <w:r w:rsidR="00E07EF3">
        <w:rPr>
          <w:rFonts w:ascii="宋体" w:hAnsi="宋体" w:hint="eastAsia"/>
          <w:sz w:val="24"/>
        </w:rPr>
        <w:t xml:space="preserve"> </w:t>
      </w:r>
      <w:r w:rsidRPr="00374DAC">
        <w:rPr>
          <w:rFonts w:ascii="宋体" w:hAnsi="宋体" w:hint="eastAsia"/>
          <w:sz w:val="24"/>
        </w:rPr>
        <w:t>原始电子数据</w:t>
      </w:r>
    </w:p>
    <w:p w14:paraId="386232EA"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存储介质被委托鉴定时所包含的电子数据。</w:t>
      </w:r>
    </w:p>
    <w:p w14:paraId="2A481A65"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3.4</w:t>
      </w:r>
      <w:r w:rsidR="00E07EF3">
        <w:rPr>
          <w:rFonts w:ascii="宋体" w:hAnsi="宋体" w:hint="eastAsia"/>
          <w:sz w:val="24"/>
        </w:rPr>
        <w:t xml:space="preserve"> </w:t>
      </w:r>
      <w:r w:rsidRPr="00374DAC">
        <w:rPr>
          <w:rFonts w:ascii="宋体" w:hAnsi="宋体" w:hint="eastAsia"/>
          <w:sz w:val="24"/>
        </w:rPr>
        <w:t>电子数据副本</w:t>
      </w:r>
    </w:p>
    <w:p w14:paraId="2B2950EF"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通过对原始电子数据的复制，获得的与原始电子数据一致的数据。</w:t>
      </w:r>
    </w:p>
    <w:p w14:paraId="6B12BC29"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3.5</w:t>
      </w:r>
      <w:r w:rsidR="00E07EF3">
        <w:rPr>
          <w:rFonts w:ascii="宋体" w:hAnsi="宋体" w:hint="eastAsia"/>
          <w:sz w:val="24"/>
        </w:rPr>
        <w:t xml:space="preserve"> </w:t>
      </w:r>
      <w:r w:rsidRPr="00374DAC">
        <w:rPr>
          <w:rFonts w:ascii="宋体" w:hAnsi="宋体" w:hint="eastAsia"/>
          <w:sz w:val="24"/>
        </w:rPr>
        <w:t>数据提取</w:t>
      </w:r>
    </w:p>
    <w:p w14:paraId="48C95AD8"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建立电子数据副本的过程。</w:t>
      </w:r>
    </w:p>
    <w:p w14:paraId="6FAEE450"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3.6</w:t>
      </w:r>
      <w:r w:rsidR="00E07EF3">
        <w:rPr>
          <w:rFonts w:ascii="宋体" w:hAnsi="宋体" w:hint="eastAsia"/>
          <w:sz w:val="24"/>
        </w:rPr>
        <w:t xml:space="preserve"> </w:t>
      </w:r>
      <w:r w:rsidRPr="00374DAC">
        <w:rPr>
          <w:rFonts w:ascii="宋体" w:hAnsi="宋体" w:hint="eastAsia"/>
          <w:sz w:val="24"/>
        </w:rPr>
        <w:t>写保护</w:t>
      </w:r>
    </w:p>
    <w:p w14:paraId="2379B4B8"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为防止对存储介质进行写操作所采取的技术措施。</w:t>
      </w:r>
    </w:p>
    <w:p w14:paraId="0F16C0CD"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3.7</w:t>
      </w:r>
      <w:r w:rsidR="00E07EF3">
        <w:rPr>
          <w:rFonts w:ascii="宋体" w:hAnsi="宋体" w:hint="eastAsia"/>
          <w:sz w:val="24"/>
        </w:rPr>
        <w:t xml:space="preserve"> </w:t>
      </w:r>
      <w:r w:rsidRPr="00374DAC">
        <w:rPr>
          <w:rFonts w:ascii="宋体" w:hAnsi="宋体" w:hint="eastAsia"/>
          <w:sz w:val="24"/>
        </w:rPr>
        <w:t>完整性校验</w:t>
      </w:r>
    </w:p>
    <w:p w14:paraId="76EF36A9"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确保数据提取的结果与原始电子数据一致的校验。</w:t>
      </w:r>
    </w:p>
    <w:p w14:paraId="5210E874"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3.8</w:t>
      </w:r>
      <w:r w:rsidR="00E07EF3">
        <w:rPr>
          <w:rFonts w:ascii="宋体" w:hAnsi="宋体" w:hint="eastAsia"/>
          <w:sz w:val="24"/>
        </w:rPr>
        <w:t xml:space="preserve"> </w:t>
      </w:r>
      <w:r w:rsidRPr="00374DAC">
        <w:rPr>
          <w:rFonts w:ascii="宋体" w:hAnsi="宋体" w:hint="eastAsia"/>
          <w:sz w:val="24"/>
        </w:rPr>
        <w:t>散列值</w:t>
      </w:r>
    </w:p>
    <w:p w14:paraId="6DB29C1B"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通过散列算法把任意长度的输入变换成固定长度的输出值。</w:t>
      </w:r>
    </w:p>
    <w:p w14:paraId="781B9C36"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注：常用散列算法包括MD5 、SHA1和SHA2等。</w:t>
      </w:r>
    </w:p>
    <w:p w14:paraId="5644ACBE"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3.9</w:t>
      </w:r>
      <w:r w:rsidR="00E07EF3">
        <w:rPr>
          <w:rFonts w:ascii="宋体" w:hAnsi="宋体" w:hint="eastAsia"/>
          <w:sz w:val="24"/>
        </w:rPr>
        <w:t xml:space="preserve"> </w:t>
      </w:r>
      <w:r w:rsidRPr="00374DAC">
        <w:rPr>
          <w:rFonts w:ascii="宋体" w:hAnsi="宋体" w:hint="eastAsia"/>
          <w:sz w:val="24"/>
        </w:rPr>
        <w:t>数据恢复</w:t>
      </w:r>
    </w:p>
    <w:p w14:paraId="23A3C8DF"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排除存储介质故障，使其中的电子数据可以正常读取的技术操作过程。</w:t>
      </w:r>
    </w:p>
    <w:p w14:paraId="5D5DD04D"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3.10</w:t>
      </w:r>
      <w:r w:rsidR="00E07EF3">
        <w:rPr>
          <w:rFonts w:ascii="宋体" w:hAnsi="宋体" w:hint="eastAsia"/>
          <w:sz w:val="24"/>
        </w:rPr>
        <w:t xml:space="preserve"> </w:t>
      </w:r>
      <w:r w:rsidRPr="00374DAC">
        <w:rPr>
          <w:rFonts w:ascii="宋体" w:hAnsi="宋体" w:hint="eastAsia"/>
          <w:sz w:val="24"/>
        </w:rPr>
        <w:t>数据搜索</w:t>
      </w:r>
    </w:p>
    <w:p w14:paraId="730D0A23"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从电子数据中查找相关数据的过程。</w:t>
      </w:r>
    </w:p>
    <w:p w14:paraId="564ADDB2"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sz w:val="24"/>
        </w:rPr>
        <w:t>3.11</w:t>
      </w:r>
      <w:r w:rsidR="00E07EF3">
        <w:rPr>
          <w:rFonts w:ascii="宋体" w:hAnsi="宋体" w:hint="eastAsia"/>
          <w:sz w:val="24"/>
        </w:rPr>
        <w:t xml:space="preserve"> </w:t>
      </w:r>
      <w:r w:rsidRPr="00374DAC">
        <w:rPr>
          <w:rFonts w:ascii="宋体" w:hAnsi="宋体" w:hint="eastAsia"/>
          <w:sz w:val="24"/>
        </w:rPr>
        <w:t>数据分析</w:t>
      </w:r>
    </w:p>
    <w:p w14:paraId="1127CE9B"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将电子数据中的各种信息相互印证、相互关联的综合分析过程。</w:t>
      </w:r>
    </w:p>
    <w:p w14:paraId="3F2DDB16"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4.鉴定操作原则</w:t>
      </w:r>
    </w:p>
    <w:p w14:paraId="5D3ABF78"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4.1 鉴定人员有责任保证检材为被委托时的原始状态，禁止任何不当操作对检材的原始状态的更改。</w:t>
      </w:r>
    </w:p>
    <w:p w14:paraId="31D04EB0"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4.2 在实施鉴定过程中，首先应对原始电子数据制作电子数据副本，此后原始检材应封存保管。</w:t>
      </w:r>
    </w:p>
    <w:p w14:paraId="1F678597"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4.3 制作出的所有副本需要进行完整性校验。</w:t>
      </w:r>
    </w:p>
    <w:p w14:paraId="617CA88D"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4.4 在鉴定过程中，原则上以电子数据副本作为操作对象。</w:t>
      </w:r>
    </w:p>
    <w:p w14:paraId="065B19FE"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4.5 由于特殊情况，鉴定操作有可能造成对原始检材的修改时，必须经委托人同意，并签署授权书，操作过程中应对原始检材采取必要的保护措施。</w:t>
      </w:r>
    </w:p>
    <w:p w14:paraId="7000E6E8"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4.6 为保证鉴定结果的重现，应详细记录鉴定过程中鉴定操作的每个步骤，记录中应包括操作方法、操作步骤和操作结果，参见《电子数据鉴定原始记录》。</w:t>
      </w:r>
    </w:p>
    <w:p w14:paraId="6DA756FA"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4.7 原则上，一台用于鉴定工作的计算机不能同时进行一个案件以上的鉴定工作，每个案件的鉴定工作完成后，应清除存储于计算机中该案件的相关信息。</w:t>
      </w:r>
    </w:p>
    <w:p w14:paraId="47C0A909"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5.鉴定操作要求</w:t>
      </w:r>
    </w:p>
    <w:p w14:paraId="45218D9E"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5.1 鉴定方法选择</w:t>
      </w:r>
    </w:p>
    <w:p w14:paraId="3342CDF3"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5.1.1</w:t>
        </w:r>
      </w:smartTag>
      <w:r w:rsidRPr="00374DAC">
        <w:rPr>
          <w:rFonts w:ascii="宋体" w:hAnsi="宋体" w:hint="eastAsia"/>
          <w:sz w:val="24"/>
        </w:rPr>
        <w:t xml:space="preserve"> 鉴定人员应选择满足鉴定要求并适用的鉴定方法。</w:t>
      </w:r>
    </w:p>
    <w:p w14:paraId="24E3BE2B"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5.1.2</w:t>
        </w:r>
      </w:smartTag>
      <w:r w:rsidRPr="00374DAC">
        <w:rPr>
          <w:rFonts w:ascii="宋体" w:hAnsi="宋体" w:hint="eastAsia"/>
          <w:sz w:val="24"/>
        </w:rPr>
        <w:t xml:space="preserve"> 为减少差错和风险，鉴定方法应优先选择正式颁布的标准方法。</w:t>
      </w:r>
    </w:p>
    <w:p w14:paraId="500337C2"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5.1.3</w:t>
        </w:r>
      </w:smartTag>
      <w:r w:rsidRPr="00374DAC">
        <w:rPr>
          <w:rFonts w:ascii="宋体" w:hAnsi="宋体" w:hint="eastAsia"/>
          <w:sz w:val="24"/>
        </w:rPr>
        <w:t xml:space="preserve"> 当没有国家、行业、地方正式颁布的标准方法时，应自行制定适当的鉴定方法。自行制定的鉴定方法在使用前，必须与已通过资质认定或实验室认可或检查机构认可的鉴定机构进行方法验证和专家确认。</w:t>
      </w:r>
    </w:p>
    <w:p w14:paraId="267EF9E6"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5.1.4</w:t>
        </w:r>
      </w:smartTag>
      <w:r w:rsidRPr="00374DAC">
        <w:rPr>
          <w:rFonts w:ascii="宋体" w:hAnsi="宋体" w:hint="eastAsia"/>
          <w:sz w:val="24"/>
        </w:rPr>
        <w:t xml:space="preserve"> 当上述方法均不适用时，应当和委托单位协商，根据鉴定要求，参照权威组织、有关科学书籍、期刊公布的方法，为其自行设计制定适用的鉴定方法。所设计的鉴定方法在使用前必须得到验证和确认，鉴定方法的制定应当充分考虑以下要求：</w:t>
      </w:r>
    </w:p>
    <w:p w14:paraId="7045C006"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a)确定设计开发者的职责；</w:t>
      </w:r>
    </w:p>
    <w:p w14:paraId="3EE48D5B"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b)明确鉴定方法的适用范围；</w:t>
      </w:r>
    </w:p>
    <w:p w14:paraId="610FBA8B"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c)鉴定方法的所有步骤应遵守“4.鉴定操作原则”；</w:t>
      </w:r>
    </w:p>
    <w:p w14:paraId="33744236"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d)必须进行鉴定方法有效性的验证；</w:t>
      </w:r>
    </w:p>
    <w:p w14:paraId="0E1CD1AF"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e)必须给出鉴定方法所需的记录数据及分析和表达方式。</w:t>
      </w:r>
    </w:p>
    <w:p w14:paraId="02A4E5AB"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5.2</w:t>
      </w:r>
      <w:r w:rsidR="009E286E">
        <w:rPr>
          <w:rFonts w:ascii="宋体" w:hAnsi="宋体" w:hint="eastAsia"/>
          <w:sz w:val="24"/>
        </w:rPr>
        <w:t xml:space="preserve"> </w:t>
      </w:r>
      <w:r w:rsidRPr="00374DAC">
        <w:rPr>
          <w:rFonts w:ascii="宋体" w:hAnsi="宋体" w:hint="eastAsia"/>
          <w:sz w:val="24"/>
        </w:rPr>
        <w:t>鉴定操作环境</w:t>
      </w:r>
    </w:p>
    <w:p w14:paraId="0B0B825A"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5.2.1</w:t>
        </w:r>
      </w:smartTag>
      <w:r w:rsidR="009E286E">
        <w:rPr>
          <w:rFonts w:ascii="宋体" w:hAnsi="宋体" w:hint="eastAsia"/>
          <w:sz w:val="24"/>
        </w:rPr>
        <w:t xml:space="preserve"> </w:t>
      </w:r>
      <w:r w:rsidRPr="00374DAC">
        <w:rPr>
          <w:rFonts w:ascii="宋体" w:hAnsi="宋体" w:hint="eastAsia"/>
          <w:sz w:val="24"/>
        </w:rPr>
        <w:t>电子数据司法鉴定操作机房必须符合《电子计算机机房设计规范》（GB50174－1993）的要求。</w:t>
      </w:r>
    </w:p>
    <w:p w14:paraId="53947723"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5.2.2</w:t>
        </w:r>
      </w:smartTag>
      <w:r w:rsidR="009E286E">
        <w:rPr>
          <w:rFonts w:ascii="宋体" w:hAnsi="宋体" w:hint="eastAsia"/>
          <w:sz w:val="24"/>
        </w:rPr>
        <w:t xml:space="preserve"> </w:t>
      </w:r>
      <w:r w:rsidRPr="00374DAC">
        <w:rPr>
          <w:rFonts w:ascii="宋体" w:hAnsi="宋体" w:hint="eastAsia"/>
          <w:sz w:val="24"/>
        </w:rPr>
        <w:t>电子数据司法鉴定操作机房应设门禁系统。</w:t>
      </w:r>
    </w:p>
    <w:p w14:paraId="01AB4C48" w14:textId="77777777" w:rsidR="00160EEC" w:rsidRPr="00374DAC" w:rsidRDefault="00160EEC" w:rsidP="00374DAC">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374DAC">
          <w:rPr>
            <w:rFonts w:ascii="宋体" w:hAnsi="宋体" w:hint="eastAsia"/>
            <w:sz w:val="24"/>
          </w:rPr>
          <w:t>5.2.3</w:t>
        </w:r>
      </w:smartTag>
      <w:r w:rsidR="009E286E">
        <w:rPr>
          <w:rFonts w:ascii="宋体" w:hAnsi="宋体" w:hint="eastAsia"/>
          <w:sz w:val="24"/>
        </w:rPr>
        <w:t xml:space="preserve"> </w:t>
      </w:r>
      <w:r w:rsidRPr="00374DAC">
        <w:rPr>
          <w:rFonts w:ascii="宋体" w:hAnsi="宋体" w:hint="eastAsia"/>
          <w:sz w:val="24"/>
        </w:rPr>
        <w:t>进行磁盘开盘操作使用的洁净间环境应符合《国家标准—洁净厂房设计规范》（GB50073-2001）的千级洁净指标。</w:t>
      </w:r>
    </w:p>
    <w:p w14:paraId="239A10CB"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5.3</w:t>
      </w:r>
      <w:r w:rsidR="009E286E">
        <w:rPr>
          <w:rFonts w:ascii="宋体" w:hAnsi="宋体" w:hint="eastAsia"/>
          <w:sz w:val="24"/>
        </w:rPr>
        <w:t xml:space="preserve"> </w:t>
      </w:r>
      <w:r w:rsidRPr="00374DAC">
        <w:rPr>
          <w:rFonts w:ascii="宋体" w:hAnsi="宋体" w:hint="eastAsia"/>
          <w:sz w:val="24"/>
        </w:rPr>
        <w:t>鉴定设备及工具基本配置要求</w:t>
      </w:r>
    </w:p>
    <w:p w14:paraId="6882FCC9"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电子数据司法鉴定机构的设备、工具的基本配置要求如表1：</w:t>
      </w:r>
    </w:p>
    <w:p w14:paraId="04288EFA" w14:textId="77777777" w:rsidR="00160EEC" w:rsidRPr="00374DAC" w:rsidRDefault="00160EEC" w:rsidP="00374DAC">
      <w:pPr>
        <w:spacing w:line="360" w:lineRule="auto"/>
        <w:ind w:firstLineChars="200" w:firstLine="480"/>
        <w:rPr>
          <w:rFonts w:ascii="宋体" w:hAnsi="宋体" w:hint="eastAsia"/>
          <w:sz w:val="24"/>
        </w:rPr>
      </w:pPr>
      <w:r w:rsidRPr="00374DAC">
        <w:rPr>
          <w:rFonts w:ascii="宋体" w:hAnsi="宋体" w:hint="eastAsia"/>
          <w:sz w:val="24"/>
        </w:rPr>
        <w:t>表1  鉴定设备及工具基本配置要求</w:t>
      </w:r>
    </w:p>
    <w:tbl>
      <w:tblPr>
        <w:tblW w:w="5000" w:type="pct"/>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675"/>
        <w:gridCol w:w="2557"/>
        <w:gridCol w:w="4532"/>
        <w:gridCol w:w="758"/>
      </w:tblGrid>
      <w:tr w:rsidR="00160EEC" w:rsidRPr="008F2731" w14:paraId="4FE5CD0C" w14:textId="77777777" w:rsidTr="008F2731">
        <w:trPr>
          <w:trHeight w:val="454"/>
        </w:trPr>
        <w:tc>
          <w:tcPr>
            <w:tcW w:w="396"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301CC23"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b/>
                <w:kern w:val="0"/>
                <w:szCs w:val="21"/>
              </w:rPr>
              <w:t>序号</w:t>
            </w:r>
          </w:p>
        </w:tc>
        <w:tc>
          <w:tcPr>
            <w:tcW w:w="1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70120DA"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b/>
                <w:kern w:val="0"/>
                <w:szCs w:val="21"/>
              </w:rPr>
              <w:t>设备类别</w:t>
            </w:r>
          </w:p>
        </w:tc>
        <w:tc>
          <w:tcPr>
            <w:tcW w:w="26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2155FF46"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b/>
                <w:kern w:val="0"/>
                <w:szCs w:val="21"/>
              </w:rPr>
              <w:t>配置要求</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7B2EDD1E"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b/>
                <w:kern w:val="0"/>
                <w:szCs w:val="21"/>
              </w:rPr>
              <w:t>性质</w:t>
            </w:r>
          </w:p>
        </w:tc>
      </w:tr>
      <w:tr w:rsidR="00160EEC" w:rsidRPr="008F2731" w14:paraId="60B64423" w14:textId="77777777" w:rsidTr="008F2731">
        <w:trPr>
          <w:trHeight w:val="454"/>
        </w:trPr>
        <w:tc>
          <w:tcPr>
            <w:tcW w:w="396" w:type="pct"/>
            <w:tcBorders>
              <w:top w:val="single" w:sz="4" w:space="0" w:color="000000"/>
              <w:left w:val="single" w:sz="4" w:space="0" w:color="000000"/>
              <w:bottom w:val="single" w:sz="4" w:space="0" w:color="auto"/>
              <w:right w:val="single" w:sz="4" w:space="0" w:color="000000"/>
            </w:tcBorders>
            <w:shd w:val="clear" w:color="auto" w:fill="auto"/>
            <w:vAlign w:val="center"/>
          </w:tcPr>
          <w:p w14:paraId="3DF816A8" w14:textId="77777777" w:rsidR="00160EEC" w:rsidRPr="008F2731" w:rsidRDefault="00160EEC" w:rsidP="008F2731">
            <w:pPr>
              <w:widowControl/>
              <w:jc w:val="center"/>
              <w:rPr>
                <w:rFonts w:ascii="宋体" w:hAnsi="宋体" w:cs="宋体"/>
                <w:kern w:val="0"/>
                <w:szCs w:val="21"/>
              </w:rPr>
            </w:pPr>
            <w:r w:rsidRPr="008F2731">
              <w:rPr>
                <w:rFonts w:ascii="宋体" w:hAnsi="宋体"/>
                <w:kern w:val="0"/>
                <w:szCs w:val="21"/>
              </w:rPr>
              <w:t>1</w:t>
            </w:r>
          </w:p>
        </w:tc>
        <w:tc>
          <w:tcPr>
            <w:tcW w:w="1500" w:type="pct"/>
            <w:tcBorders>
              <w:top w:val="single" w:sz="4" w:space="0" w:color="000000"/>
              <w:left w:val="single" w:sz="4" w:space="0" w:color="000000"/>
              <w:bottom w:val="single" w:sz="4" w:space="0" w:color="auto"/>
              <w:right w:val="single" w:sz="4" w:space="0" w:color="000000"/>
            </w:tcBorders>
            <w:shd w:val="clear" w:color="auto" w:fill="auto"/>
            <w:vAlign w:val="center"/>
          </w:tcPr>
          <w:p w14:paraId="718A07F1" w14:textId="77777777" w:rsidR="00160EEC" w:rsidRPr="008F2731" w:rsidRDefault="00160EEC" w:rsidP="008F2731">
            <w:pPr>
              <w:widowControl/>
              <w:rPr>
                <w:rFonts w:ascii="宋体" w:hAnsi="宋体" w:cs="宋体"/>
                <w:kern w:val="0"/>
                <w:szCs w:val="21"/>
              </w:rPr>
            </w:pPr>
            <w:r w:rsidRPr="008F2731">
              <w:rPr>
                <w:rFonts w:ascii="宋体" w:hAnsi="宋体" w:cs="宋体" w:hint="eastAsia"/>
                <w:kern w:val="0"/>
                <w:szCs w:val="21"/>
              </w:rPr>
              <w:t>专用电子数据鉴定工作计算机及配套设备</w:t>
            </w:r>
          </w:p>
        </w:tc>
        <w:tc>
          <w:tcPr>
            <w:tcW w:w="26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75F8B61" w14:textId="77777777" w:rsidR="00160EEC" w:rsidRPr="008F2731" w:rsidRDefault="00160EEC" w:rsidP="008F2731">
            <w:pPr>
              <w:widowControl/>
              <w:rPr>
                <w:rFonts w:ascii="宋体" w:hAnsi="宋体" w:cs="宋体"/>
                <w:kern w:val="0"/>
                <w:szCs w:val="21"/>
              </w:rPr>
            </w:pPr>
            <w:r w:rsidRPr="008F2731">
              <w:rPr>
                <w:rFonts w:ascii="宋体" w:hAnsi="宋体"/>
                <w:kern w:val="0"/>
                <w:szCs w:val="21"/>
              </w:rPr>
              <w:t>1)</w:t>
            </w:r>
            <w:r w:rsidRPr="008F2731">
              <w:rPr>
                <w:rFonts w:ascii="宋体" w:hAnsi="宋体" w:cs="宋体" w:hint="eastAsia"/>
                <w:kern w:val="0"/>
                <w:szCs w:val="21"/>
              </w:rPr>
              <w:t>配置基本的操作系统、软件工作环境及必要的硬件配套设备。</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772F88F"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kern w:val="0"/>
                <w:szCs w:val="21"/>
              </w:rPr>
              <w:t>必备</w:t>
            </w:r>
          </w:p>
        </w:tc>
      </w:tr>
      <w:tr w:rsidR="00160EEC" w:rsidRPr="008F2731" w14:paraId="1E7F89FB" w14:textId="77777777" w:rsidTr="008F2731">
        <w:trPr>
          <w:trHeight w:val="454"/>
        </w:trPr>
        <w:tc>
          <w:tcPr>
            <w:tcW w:w="396" w:type="pct"/>
            <w:tcBorders>
              <w:top w:val="single" w:sz="4" w:space="0" w:color="auto"/>
              <w:left w:val="single" w:sz="4" w:space="0" w:color="000000"/>
              <w:bottom w:val="single" w:sz="4" w:space="0" w:color="auto"/>
              <w:right w:val="single" w:sz="4" w:space="0" w:color="000000"/>
            </w:tcBorders>
            <w:shd w:val="clear" w:color="auto" w:fill="auto"/>
            <w:vAlign w:val="center"/>
          </w:tcPr>
          <w:p w14:paraId="4B60E9C7" w14:textId="77777777" w:rsidR="00160EEC" w:rsidRPr="008F2731" w:rsidRDefault="00160EEC" w:rsidP="008F2731">
            <w:pPr>
              <w:widowControl/>
              <w:jc w:val="center"/>
              <w:rPr>
                <w:rFonts w:ascii="宋体" w:hAnsi="宋体" w:cs="宋体"/>
                <w:kern w:val="0"/>
                <w:szCs w:val="21"/>
              </w:rPr>
            </w:pPr>
            <w:r w:rsidRPr="008F2731">
              <w:rPr>
                <w:rFonts w:ascii="宋体" w:hAnsi="宋体"/>
                <w:kern w:val="0"/>
                <w:szCs w:val="21"/>
              </w:rPr>
              <w:t>2</w:t>
            </w:r>
          </w:p>
        </w:tc>
        <w:tc>
          <w:tcPr>
            <w:tcW w:w="1500" w:type="pct"/>
            <w:tcBorders>
              <w:top w:val="single" w:sz="4" w:space="0" w:color="auto"/>
              <w:left w:val="single" w:sz="4" w:space="0" w:color="000000"/>
              <w:bottom w:val="single" w:sz="4" w:space="0" w:color="auto"/>
              <w:right w:val="single" w:sz="4" w:space="0" w:color="000000"/>
            </w:tcBorders>
            <w:shd w:val="clear" w:color="auto" w:fill="auto"/>
            <w:vAlign w:val="center"/>
          </w:tcPr>
          <w:p w14:paraId="5FF542D2" w14:textId="77777777" w:rsidR="00160EEC" w:rsidRPr="008F2731" w:rsidRDefault="00160EEC" w:rsidP="008F2731">
            <w:pPr>
              <w:widowControl/>
              <w:rPr>
                <w:rFonts w:ascii="宋体" w:hAnsi="宋体" w:cs="宋体"/>
                <w:kern w:val="0"/>
                <w:szCs w:val="21"/>
              </w:rPr>
            </w:pPr>
            <w:r w:rsidRPr="008F2731">
              <w:rPr>
                <w:rFonts w:ascii="宋体" w:hAnsi="宋体" w:cs="宋体" w:hint="eastAsia"/>
                <w:kern w:val="0"/>
                <w:szCs w:val="21"/>
              </w:rPr>
              <w:t>洁净间硬盘操作工具，包括更换硬盘备件所需工具</w:t>
            </w:r>
          </w:p>
        </w:tc>
        <w:tc>
          <w:tcPr>
            <w:tcW w:w="26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F114FB9" w14:textId="77777777" w:rsidR="00160EEC" w:rsidRPr="008F2731" w:rsidRDefault="00160EEC" w:rsidP="008F2731">
            <w:pPr>
              <w:widowControl/>
              <w:rPr>
                <w:rFonts w:ascii="宋体" w:hAnsi="宋体" w:cs="宋体"/>
                <w:kern w:val="0"/>
                <w:szCs w:val="21"/>
              </w:rPr>
            </w:pPr>
            <w:r w:rsidRPr="008F2731">
              <w:rPr>
                <w:rFonts w:ascii="宋体" w:hAnsi="宋体"/>
                <w:kern w:val="0"/>
                <w:szCs w:val="21"/>
              </w:rPr>
              <w:t>1)</w:t>
            </w:r>
            <w:r w:rsidRPr="008F2731">
              <w:rPr>
                <w:rFonts w:ascii="宋体" w:hAnsi="宋体" w:cs="宋体" w:hint="eastAsia"/>
                <w:kern w:val="0"/>
                <w:szCs w:val="21"/>
              </w:rPr>
              <w:t>配置洁净台、显微镜、开盘设备及相关备件。</w:t>
            </w:r>
          </w:p>
          <w:p w14:paraId="362C5974" w14:textId="77777777" w:rsidR="00160EEC" w:rsidRPr="008F2731" w:rsidRDefault="00160EEC" w:rsidP="008F2731">
            <w:pPr>
              <w:widowControl/>
              <w:rPr>
                <w:rFonts w:ascii="宋体" w:hAnsi="宋体" w:cs="宋体"/>
                <w:kern w:val="0"/>
                <w:szCs w:val="21"/>
              </w:rPr>
            </w:pPr>
            <w:r w:rsidRPr="008F2731">
              <w:rPr>
                <w:rFonts w:ascii="宋体" w:hAnsi="宋体"/>
                <w:kern w:val="0"/>
                <w:szCs w:val="21"/>
              </w:rPr>
              <w:t>2)</w:t>
            </w:r>
            <w:r w:rsidRPr="008F2731">
              <w:rPr>
                <w:rFonts w:ascii="宋体" w:hAnsi="宋体" w:cs="宋体" w:hint="eastAsia"/>
                <w:kern w:val="0"/>
                <w:szCs w:val="21"/>
              </w:rPr>
              <w:t>所用设备应符合</w:t>
            </w:r>
            <w:r w:rsidRPr="008F2731">
              <w:rPr>
                <w:rFonts w:ascii="宋体" w:hAnsi="宋体"/>
                <w:kern w:val="0"/>
                <w:szCs w:val="21"/>
              </w:rPr>
              <w:t>GB50073-2001</w:t>
            </w:r>
            <w:r w:rsidRPr="008F2731">
              <w:rPr>
                <w:rFonts w:ascii="宋体" w:hAnsi="宋体" w:cs="宋体" w:hint="eastAsia"/>
                <w:kern w:val="0"/>
                <w:szCs w:val="21"/>
              </w:rPr>
              <w:t>的千级洁净指标。</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E708A89"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kern w:val="0"/>
                <w:szCs w:val="21"/>
              </w:rPr>
              <w:t>选备</w:t>
            </w:r>
          </w:p>
        </w:tc>
      </w:tr>
      <w:tr w:rsidR="00160EEC" w:rsidRPr="008F2731" w14:paraId="4F256F9C" w14:textId="77777777" w:rsidTr="008F2731">
        <w:trPr>
          <w:trHeight w:val="454"/>
        </w:trPr>
        <w:tc>
          <w:tcPr>
            <w:tcW w:w="396" w:type="pct"/>
            <w:tcBorders>
              <w:top w:val="single" w:sz="4" w:space="0" w:color="auto"/>
              <w:left w:val="single" w:sz="4" w:space="0" w:color="000000"/>
              <w:bottom w:val="single" w:sz="4" w:space="0" w:color="auto"/>
              <w:right w:val="single" w:sz="4" w:space="0" w:color="000000"/>
            </w:tcBorders>
            <w:shd w:val="clear" w:color="auto" w:fill="auto"/>
            <w:vAlign w:val="center"/>
          </w:tcPr>
          <w:p w14:paraId="1DDD1E5A" w14:textId="77777777" w:rsidR="00160EEC" w:rsidRPr="008F2731" w:rsidRDefault="00160EEC" w:rsidP="008F2731">
            <w:pPr>
              <w:widowControl/>
              <w:jc w:val="center"/>
              <w:rPr>
                <w:rFonts w:ascii="宋体" w:hAnsi="宋体" w:cs="宋体"/>
                <w:kern w:val="0"/>
                <w:szCs w:val="21"/>
              </w:rPr>
            </w:pPr>
            <w:r w:rsidRPr="008F2731">
              <w:rPr>
                <w:rFonts w:ascii="宋体" w:hAnsi="宋体"/>
                <w:kern w:val="0"/>
                <w:szCs w:val="21"/>
              </w:rPr>
              <w:t>3</w:t>
            </w:r>
          </w:p>
        </w:tc>
        <w:tc>
          <w:tcPr>
            <w:tcW w:w="1500" w:type="pct"/>
            <w:tcBorders>
              <w:top w:val="single" w:sz="4" w:space="0" w:color="auto"/>
              <w:left w:val="single" w:sz="4" w:space="0" w:color="000000"/>
              <w:bottom w:val="single" w:sz="4" w:space="0" w:color="auto"/>
              <w:right w:val="single" w:sz="4" w:space="0" w:color="000000"/>
            </w:tcBorders>
            <w:shd w:val="clear" w:color="auto" w:fill="auto"/>
            <w:vAlign w:val="center"/>
          </w:tcPr>
          <w:p w14:paraId="46E23711" w14:textId="77777777" w:rsidR="00160EEC" w:rsidRPr="008F2731" w:rsidRDefault="00160EEC" w:rsidP="008F2731">
            <w:pPr>
              <w:widowControl/>
              <w:rPr>
                <w:rFonts w:ascii="宋体" w:hAnsi="宋体" w:cs="宋体"/>
                <w:kern w:val="0"/>
                <w:szCs w:val="21"/>
              </w:rPr>
            </w:pPr>
            <w:r w:rsidRPr="008F2731">
              <w:rPr>
                <w:rFonts w:ascii="宋体" w:hAnsi="宋体" w:cs="宋体" w:hint="eastAsia"/>
                <w:kern w:val="0"/>
                <w:szCs w:val="21"/>
              </w:rPr>
              <w:t>数据提取工具，包括硬盘拷贝机和制作各种镜像文件的软件</w:t>
            </w:r>
          </w:p>
        </w:tc>
        <w:tc>
          <w:tcPr>
            <w:tcW w:w="26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6F674EE1" w14:textId="77777777" w:rsidR="00160EEC" w:rsidRPr="008F2731" w:rsidRDefault="00160EEC" w:rsidP="008F2731">
            <w:pPr>
              <w:widowControl/>
              <w:tabs>
                <w:tab w:val="num" w:pos="420"/>
              </w:tabs>
              <w:rPr>
                <w:rFonts w:ascii="宋体" w:hAnsi="宋体" w:cs="宋体"/>
                <w:kern w:val="0"/>
                <w:szCs w:val="21"/>
              </w:rPr>
            </w:pPr>
            <w:r w:rsidRPr="008F2731">
              <w:rPr>
                <w:rFonts w:ascii="宋体" w:hAnsi="宋体"/>
                <w:kern w:val="0"/>
                <w:szCs w:val="21"/>
              </w:rPr>
              <w:t>1)</w:t>
            </w:r>
            <w:r w:rsidRPr="008F2731">
              <w:rPr>
                <w:rFonts w:ascii="宋体" w:hAnsi="宋体" w:cs="宋体" w:hint="eastAsia"/>
                <w:kern w:val="0"/>
                <w:szCs w:val="21"/>
              </w:rPr>
              <w:t>数据提取工具必须具有写保护功能，或该提取工具可以与写保护设备相连，以保证不对原始电子数据作任何修改。</w:t>
            </w:r>
          </w:p>
          <w:p w14:paraId="694A076B" w14:textId="77777777" w:rsidR="00160EEC" w:rsidRPr="008F2731" w:rsidRDefault="00160EEC" w:rsidP="008F2731">
            <w:pPr>
              <w:widowControl/>
              <w:tabs>
                <w:tab w:val="num" w:pos="420"/>
              </w:tabs>
              <w:rPr>
                <w:rFonts w:ascii="宋体" w:hAnsi="宋体" w:cs="宋体"/>
                <w:kern w:val="0"/>
                <w:szCs w:val="21"/>
              </w:rPr>
            </w:pPr>
            <w:r w:rsidRPr="008F2731">
              <w:rPr>
                <w:rFonts w:ascii="宋体" w:hAnsi="宋体"/>
                <w:kern w:val="0"/>
                <w:szCs w:val="21"/>
              </w:rPr>
              <w:t>2)</w:t>
            </w:r>
            <w:r w:rsidRPr="008F2731">
              <w:rPr>
                <w:rFonts w:ascii="宋体" w:hAnsi="宋体" w:cs="宋体" w:hint="eastAsia"/>
                <w:kern w:val="0"/>
                <w:szCs w:val="21"/>
              </w:rPr>
              <w:t>数据提取工具必须具有完整性校验功能，以保证电子数据副本与原始电子数据一致。</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580B9379"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kern w:val="0"/>
                <w:szCs w:val="21"/>
              </w:rPr>
              <w:t>必备</w:t>
            </w:r>
          </w:p>
        </w:tc>
      </w:tr>
      <w:tr w:rsidR="00160EEC" w:rsidRPr="008F2731" w14:paraId="667FCCBC" w14:textId="77777777" w:rsidTr="008F2731">
        <w:trPr>
          <w:trHeight w:val="454"/>
        </w:trPr>
        <w:tc>
          <w:tcPr>
            <w:tcW w:w="396" w:type="pct"/>
            <w:tcBorders>
              <w:top w:val="single" w:sz="4" w:space="0" w:color="auto"/>
              <w:left w:val="single" w:sz="4" w:space="0" w:color="000000"/>
              <w:bottom w:val="single" w:sz="4" w:space="0" w:color="auto"/>
              <w:right w:val="single" w:sz="4" w:space="0" w:color="000000"/>
            </w:tcBorders>
            <w:shd w:val="clear" w:color="auto" w:fill="auto"/>
            <w:vAlign w:val="center"/>
          </w:tcPr>
          <w:p w14:paraId="6A3787AA" w14:textId="77777777" w:rsidR="00160EEC" w:rsidRPr="008F2731" w:rsidRDefault="00160EEC" w:rsidP="008F2731">
            <w:pPr>
              <w:widowControl/>
              <w:jc w:val="center"/>
              <w:rPr>
                <w:rFonts w:ascii="宋体" w:hAnsi="宋体" w:cs="宋体"/>
                <w:kern w:val="0"/>
                <w:szCs w:val="21"/>
              </w:rPr>
            </w:pPr>
            <w:r w:rsidRPr="008F2731">
              <w:rPr>
                <w:rFonts w:ascii="宋体" w:hAnsi="宋体"/>
                <w:kern w:val="0"/>
                <w:szCs w:val="21"/>
              </w:rPr>
              <w:t>4</w:t>
            </w:r>
          </w:p>
        </w:tc>
        <w:tc>
          <w:tcPr>
            <w:tcW w:w="1500" w:type="pct"/>
            <w:tcBorders>
              <w:top w:val="single" w:sz="4" w:space="0" w:color="auto"/>
              <w:left w:val="single" w:sz="4" w:space="0" w:color="000000"/>
              <w:bottom w:val="single" w:sz="4" w:space="0" w:color="000000"/>
              <w:right w:val="single" w:sz="4" w:space="0" w:color="000000"/>
            </w:tcBorders>
            <w:shd w:val="clear" w:color="auto" w:fill="auto"/>
            <w:vAlign w:val="center"/>
          </w:tcPr>
          <w:p w14:paraId="6F5C7659" w14:textId="77777777" w:rsidR="00160EEC" w:rsidRPr="008F2731" w:rsidRDefault="00160EEC" w:rsidP="008F2731">
            <w:pPr>
              <w:widowControl/>
              <w:rPr>
                <w:rFonts w:ascii="宋体" w:hAnsi="宋体" w:cs="宋体"/>
                <w:kern w:val="0"/>
                <w:szCs w:val="21"/>
              </w:rPr>
            </w:pPr>
            <w:r w:rsidRPr="008F2731">
              <w:rPr>
                <w:rFonts w:ascii="宋体" w:hAnsi="宋体" w:cs="宋体" w:hint="eastAsia"/>
                <w:kern w:val="0"/>
                <w:szCs w:val="21"/>
              </w:rPr>
              <w:t>写保护接口，包括写保护设备及各种转接线</w:t>
            </w:r>
          </w:p>
        </w:tc>
        <w:tc>
          <w:tcPr>
            <w:tcW w:w="26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49351C42" w14:textId="77777777" w:rsidR="00160EEC" w:rsidRPr="008F2731" w:rsidRDefault="00160EEC" w:rsidP="008F2731">
            <w:pPr>
              <w:widowControl/>
              <w:rPr>
                <w:rFonts w:ascii="宋体" w:hAnsi="宋体" w:cs="宋体"/>
                <w:kern w:val="0"/>
                <w:szCs w:val="21"/>
              </w:rPr>
            </w:pPr>
            <w:r w:rsidRPr="008F2731">
              <w:rPr>
                <w:rFonts w:ascii="宋体" w:hAnsi="宋体"/>
                <w:kern w:val="0"/>
                <w:szCs w:val="21"/>
              </w:rPr>
              <w:t>1)</w:t>
            </w:r>
            <w:r w:rsidRPr="008F2731">
              <w:rPr>
                <w:rFonts w:ascii="宋体" w:hAnsi="宋体" w:cs="宋体" w:hint="eastAsia"/>
                <w:kern w:val="0"/>
                <w:szCs w:val="21"/>
              </w:rPr>
              <w:t>写保护接口必须有明确的写保护方向标识，防止标识不清造成对原始检材的写入。</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589E76C"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kern w:val="0"/>
                <w:szCs w:val="21"/>
              </w:rPr>
              <w:t>必备</w:t>
            </w:r>
          </w:p>
        </w:tc>
      </w:tr>
      <w:tr w:rsidR="00160EEC" w:rsidRPr="008F2731" w14:paraId="7741A8B6" w14:textId="77777777" w:rsidTr="008F2731">
        <w:trPr>
          <w:trHeight w:val="454"/>
        </w:trPr>
        <w:tc>
          <w:tcPr>
            <w:tcW w:w="396" w:type="pct"/>
            <w:tcBorders>
              <w:top w:val="single" w:sz="4" w:space="0" w:color="auto"/>
              <w:left w:val="single" w:sz="4" w:space="0" w:color="000000"/>
              <w:bottom w:val="single" w:sz="4" w:space="0" w:color="000000"/>
              <w:right w:val="single" w:sz="4" w:space="0" w:color="000000"/>
            </w:tcBorders>
            <w:shd w:val="clear" w:color="auto" w:fill="auto"/>
            <w:vAlign w:val="center"/>
          </w:tcPr>
          <w:p w14:paraId="4FDE3278" w14:textId="77777777" w:rsidR="00160EEC" w:rsidRPr="008F2731" w:rsidRDefault="00160EEC" w:rsidP="008F2731">
            <w:pPr>
              <w:widowControl/>
              <w:jc w:val="center"/>
              <w:rPr>
                <w:rFonts w:ascii="宋体" w:hAnsi="宋体" w:cs="宋体"/>
                <w:kern w:val="0"/>
                <w:szCs w:val="21"/>
              </w:rPr>
            </w:pPr>
            <w:r w:rsidRPr="008F2731">
              <w:rPr>
                <w:rFonts w:ascii="宋体" w:hAnsi="宋体"/>
                <w:kern w:val="0"/>
                <w:szCs w:val="21"/>
              </w:rPr>
              <w:t>5</w:t>
            </w:r>
          </w:p>
        </w:tc>
        <w:tc>
          <w:tcPr>
            <w:tcW w:w="1500"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A430E32" w14:textId="77777777" w:rsidR="00160EEC" w:rsidRPr="008F2731" w:rsidRDefault="00160EEC" w:rsidP="008F2731">
            <w:pPr>
              <w:widowControl/>
              <w:rPr>
                <w:rFonts w:ascii="宋体" w:hAnsi="宋体" w:cs="宋体"/>
                <w:kern w:val="0"/>
                <w:szCs w:val="21"/>
              </w:rPr>
            </w:pPr>
            <w:r w:rsidRPr="008F2731">
              <w:rPr>
                <w:rFonts w:ascii="宋体" w:hAnsi="宋体" w:cs="宋体" w:hint="eastAsia"/>
                <w:kern w:val="0"/>
                <w:szCs w:val="21"/>
              </w:rPr>
              <w:t>数据分析工具，包括取证分析工具和数据恢复工具</w:t>
            </w:r>
          </w:p>
        </w:tc>
        <w:tc>
          <w:tcPr>
            <w:tcW w:w="2659" w:type="pct"/>
            <w:tcBorders>
              <w:top w:val="single" w:sz="4" w:space="0" w:color="000000"/>
              <w:left w:val="single" w:sz="4" w:space="0" w:color="000000"/>
              <w:bottom w:val="single" w:sz="4" w:space="0" w:color="000000"/>
              <w:right w:val="single" w:sz="4" w:space="0" w:color="000000"/>
            </w:tcBorders>
            <w:shd w:val="clear" w:color="auto" w:fill="auto"/>
            <w:vAlign w:val="center"/>
          </w:tcPr>
          <w:p w14:paraId="19845D86" w14:textId="77777777" w:rsidR="00160EEC" w:rsidRPr="008F2731" w:rsidRDefault="00160EEC" w:rsidP="008F2731">
            <w:pPr>
              <w:widowControl/>
              <w:rPr>
                <w:rFonts w:ascii="宋体" w:hAnsi="宋体" w:cs="宋体"/>
                <w:kern w:val="0"/>
                <w:szCs w:val="21"/>
              </w:rPr>
            </w:pPr>
            <w:r w:rsidRPr="008F2731">
              <w:rPr>
                <w:rFonts w:ascii="宋体" w:hAnsi="宋体"/>
                <w:kern w:val="0"/>
                <w:szCs w:val="21"/>
              </w:rPr>
              <w:t>1)</w:t>
            </w:r>
            <w:r w:rsidRPr="008F2731">
              <w:rPr>
                <w:rFonts w:ascii="宋体" w:hAnsi="宋体" w:cs="宋体" w:hint="eastAsia"/>
                <w:kern w:val="0"/>
                <w:szCs w:val="21"/>
              </w:rPr>
              <w:t>数据分析工具要确保在使用过程中不对数据做任何修改。</w:t>
            </w:r>
          </w:p>
        </w:tc>
        <w:tc>
          <w:tcPr>
            <w:tcW w:w="445" w:type="pct"/>
            <w:tcBorders>
              <w:top w:val="single" w:sz="4" w:space="0" w:color="000000"/>
              <w:left w:val="single" w:sz="4" w:space="0" w:color="000000"/>
              <w:bottom w:val="single" w:sz="4" w:space="0" w:color="000000"/>
              <w:right w:val="single" w:sz="4" w:space="0" w:color="000000"/>
            </w:tcBorders>
            <w:shd w:val="clear" w:color="auto" w:fill="auto"/>
            <w:vAlign w:val="center"/>
          </w:tcPr>
          <w:p w14:paraId="06048A7E" w14:textId="77777777" w:rsidR="00160EEC" w:rsidRPr="008F2731" w:rsidRDefault="00160EEC" w:rsidP="008F2731">
            <w:pPr>
              <w:widowControl/>
              <w:jc w:val="center"/>
              <w:rPr>
                <w:rFonts w:ascii="宋体" w:hAnsi="宋体" w:cs="宋体"/>
                <w:kern w:val="0"/>
                <w:szCs w:val="21"/>
              </w:rPr>
            </w:pPr>
            <w:r w:rsidRPr="008F2731">
              <w:rPr>
                <w:rFonts w:ascii="宋体" w:hAnsi="宋体" w:cs="宋体" w:hint="eastAsia"/>
                <w:kern w:val="0"/>
                <w:szCs w:val="21"/>
              </w:rPr>
              <w:t>必备</w:t>
            </w:r>
          </w:p>
        </w:tc>
      </w:tr>
    </w:tbl>
    <w:p w14:paraId="2CF23D03"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5.4 鉴定设备及工具使用</w:t>
      </w:r>
    </w:p>
    <w:p w14:paraId="641B6F55"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5.4.1</w:t>
        </w:r>
      </w:smartTag>
      <w:r w:rsidR="008F2731">
        <w:rPr>
          <w:rFonts w:ascii="宋体" w:hAnsi="宋体" w:hint="eastAsia"/>
          <w:sz w:val="24"/>
        </w:rPr>
        <w:t xml:space="preserve"> </w:t>
      </w:r>
      <w:r w:rsidRPr="008F2731">
        <w:rPr>
          <w:rFonts w:ascii="宋体" w:hAnsi="宋体" w:hint="eastAsia"/>
          <w:sz w:val="24"/>
        </w:rPr>
        <w:t>用于鉴定工作的计算机必须专机专用。</w:t>
      </w:r>
    </w:p>
    <w:p w14:paraId="0B8B0884"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5.4.2</w:t>
        </w:r>
      </w:smartTag>
      <w:r w:rsidR="008F2731">
        <w:rPr>
          <w:rFonts w:ascii="宋体" w:hAnsi="宋体" w:hint="eastAsia"/>
          <w:sz w:val="24"/>
        </w:rPr>
        <w:t xml:space="preserve"> </w:t>
      </w:r>
      <w:r w:rsidRPr="008F2731">
        <w:rPr>
          <w:rFonts w:ascii="宋体" w:hAnsi="宋体" w:hint="eastAsia"/>
          <w:sz w:val="24"/>
        </w:rPr>
        <w:t>用于鉴定工作的计算机必须设置密码，无关人员不得使用。</w:t>
      </w:r>
    </w:p>
    <w:p w14:paraId="6FD2745C"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5.4.3</w:t>
        </w:r>
      </w:smartTag>
      <w:r w:rsidR="008F2731">
        <w:rPr>
          <w:rFonts w:ascii="宋体" w:hAnsi="宋体" w:hint="eastAsia"/>
          <w:sz w:val="24"/>
        </w:rPr>
        <w:t xml:space="preserve"> </w:t>
      </w:r>
      <w:r w:rsidRPr="008F2731">
        <w:rPr>
          <w:rFonts w:ascii="宋体" w:hAnsi="宋体" w:hint="eastAsia"/>
          <w:sz w:val="24"/>
        </w:rPr>
        <w:t>用于鉴定工作的计算机应安装防恶意程序的软件，并在每次使用该计算机实施鉴定操作前进行软件升级和全盘扫描。</w:t>
      </w:r>
    </w:p>
    <w:p w14:paraId="77C6E767"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5.4.4</w:t>
        </w:r>
      </w:smartTag>
      <w:r w:rsidRPr="008F2731">
        <w:rPr>
          <w:rFonts w:ascii="宋体" w:hAnsi="宋体" w:hint="eastAsia"/>
          <w:sz w:val="24"/>
        </w:rPr>
        <w:t xml:space="preserve"> 用于鉴定工作的计算机在实施检定过程中不得连接互联网，软件升级或鉴定操作必须连接互联网情况除外。</w:t>
      </w:r>
    </w:p>
    <w:p w14:paraId="24A84F88"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5.5 检材保管</w:t>
      </w:r>
    </w:p>
    <w:p w14:paraId="67FFEAA6"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5.5.1</w:t>
        </w:r>
      </w:smartTag>
      <w:r w:rsidRPr="008F2731">
        <w:rPr>
          <w:rFonts w:ascii="宋体" w:hAnsi="宋体" w:hint="eastAsia"/>
          <w:sz w:val="24"/>
        </w:rPr>
        <w:t xml:space="preserve"> 保存</w:t>
      </w:r>
    </w:p>
    <w:p w14:paraId="5FD9BEC4"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检材保存要求如下：</w:t>
      </w:r>
    </w:p>
    <w:p w14:paraId="3F784496"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a)委托鉴定的所有检材必须专人管理，做好登记，妥善保存，参见《检材管理文档》；</w:t>
      </w:r>
    </w:p>
    <w:p w14:paraId="03EC111A"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b)为检材粘贴标识时，需标明案号及检材号，参见《检材标签》；</w:t>
      </w:r>
    </w:p>
    <w:p w14:paraId="1258C76C"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c)需真实详细地标注出检材的相关信息，包括电子设备的序列号，参见《鉴定委托介质收领单》；</w:t>
      </w:r>
    </w:p>
    <w:p w14:paraId="72E73DD1"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d)对检材拍照时，照片一般应包含检材的特征；</w:t>
      </w:r>
    </w:p>
    <w:p w14:paraId="2C3B74FC"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e)在不使用检材时，需要将检材存放在防潮、防震、防静电、防磁的电磁屏蔽环境中；</w:t>
      </w:r>
    </w:p>
    <w:p w14:paraId="0003BD58"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f)检材应远离高磁场、高温、灰尘、积压、潮湿、腐蚀性化学试剂等。</w:t>
      </w:r>
    </w:p>
    <w:p w14:paraId="2A838B9F"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5.5.2</w:t>
        </w:r>
      </w:smartTag>
      <w:r w:rsidRPr="008F2731">
        <w:rPr>
          <w:rFonts w:ascii="宋体" w:hAnsi="宋体" w:hint="eastAsia"/>
          <w:sz w:val="24"/>
        </w:rPr>
        <w:t xml:space="preserve"> 管理</w:t>
      </w:r>
    </w:p>
    <w:p w14:paraId="13902483"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检材管理要求如下：</w:t>
      </w:r>
    </w:p>
    <w:p w14:paraId="1BD57D69"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a)由档案管理人员负责检材的移交、保管、开封。</w:t>
      </w:r>
    </w:p>
    <w:p w14:paraId="6838EFBC"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b)原始检材和镜象盘必须保存在有安全控制措施的房间和保管柜中，人员及检材的出入必须留有记录。</w:t>
      </w:r>
    </w:p>
    <w:p w14:paraId="6B51E589"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c)包装检材时，应填写检材管理文档，该文档用于记录检材管理的重要信息，主要包括提取检材的鉴定人员、借出时间、归还时间等，参见《检材管理文档》。</w:t>
      </w:r>
    </w:p>
    <w:p w14:paraId="3FDFA005"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d)为确保检材传递环节的清晰明确，每次检材的借用都必须登记，参见《检材借用登记表》，经由鉴定技术部门的负责人批准，由档案管理人员真实详细地填写《检材管理文档》，并由使用检材的鉴定人员和档案保管人员共同签名。</w:t>
      </w:r>
    </w:p>
    <w:p w14:paraId="010AC559"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e)在每次使用检材前后都必须对照《鉴定委托介质收领单》核对检材的数量和标识。</w:t>
      </w:r>
    </w:p>
    <w:p w14:paraId="15419F88"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f)《检材管理文档》必须妥善保存。</w:t>
      </w:r>
    </w:p>
    <w:p w14:paraId="1191E0BA"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6.鉴定流程与实施</w:t>
      </w:r>
    </w:p>
    <w:p w14:paraId="24670704"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6.1</w:t>
      </w:r>
      <w:r w:rsidR="008F2731">
        <w:rPr>
          <w:rFonts w:ascii="宋体" w:hAnsi="宋体" w:hint="eastAsia"/>
          <w:sz w:val="24"/>
        </w:rPr>
        <w:t xml:space="preserve"> </w:t>
      </w:r>
      <w:r w:rsidRPr="008F2731">
        <w:rPr>
          <w:rFonts w:ascii="宋体" w:hAnsi="宋体" w:hint="eastAsia"/>
          <w:sz w:val="24"/>
        </w:rPr>
        <w:t>案件受理</w:t>
      </w:r>
    </w:p>
    <w:p w14:paraId="1F84F291"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6.1.1</w:t>
        </w:r>
      </w:smartTag>
      <w:r w:rsidRPr="008F2731">
        <w:rPr>
          <w:rFonts w:ascii="宋体" w:hAnsi="宋体" w:hint="eastAsia"/>
          <w:sz w:val="24"/>
        </w:rPr>
        <w:t xml:space="preserve"> 案件受理实行程序受理与技术受理相结合的方式。案件受理人员对委托鉴定的案件进行程序审核，鉴定技术人员对委托的案件进行技术审核，确认符合受理规定的应予受理。</w:t>
      </w:r>
    </w:p>
    <w:p w14:paraId="4A5A7928"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6.1.2</w:t>
        </w:r>
      </w:smartTag>
      <w:r w:rsidRPr="008F2731">
        <w:rPr>
          <w:rFonts w:ascii="宋体" w:hAnsi="宋体" w:hint="eastAsia"/>
          <w:sz w:val="24"/>
        </w:rPr>
        <w:t xml:space="preserve"> 案件受理人员查验委托人的《鉴定委托书》、送检人身份证明和原始检材。</w:t>
      </w:r>
    </w:p>
    <w:p w14:paraId="0BE6D8E0"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6.1.3</w:t>
        </w:r>
      </w:smartTag>
      <w:r w:rsidRPr="008F2731">
        <w:rPr>
          <w:rFonts w:ascii="宋体" w:hAnsi="宋体" w:hint="eastAsia"/>
          <w:sz w:val="24"/>
        </w:rPr>
        <w:t xml:space="preserve"> 案件受理人员对手续齐全的委托予以接收，拍照记录原始检材的外观属性并指导送检人填写接收《鉴定委托介质收领单》及《鉴定委托要求》。在对检材写保护的前提下，鉴定技术人员通过技术手段确认原始检材可正常使用，确认原始电子数据真实存在。</w:t>
      </w:r>
    </w:p>
    <w:p w14:paraId="321AC35F"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6.1.4</w:t>
        </w:r>
      </w:smartTag>
      <w:r w:rsidRPr="008F2731">
        <w:rPr>
          <w:rFonts w:ascii="宋体" w:hAnsi="宋体" w:hint="eastAsia"/>
          <w:sz w:val="24"/>
        </w:rPr>
        <w:t xml:space="preserve"> 在对检材写保护的前提下，鉴定技术人员对检材副本进行初步检验，判断是否具备鉴定条件。</w:t>
      </w:r>
    </w:p>
    <w:p w14:paraId="47C5DD9E"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6.1.5</w:t>
        </w:r>
      </w:smartTag>
      <w:r w:rsidRPr="008F2731">
        <w:rPr>
          <w:rFonts w:ascii="宋体" w:hAnsi="宋体" w:hint="eastAsia"/>
          <w:sz w:val="24"/>
        </w:rPr>
        <w:t xml:space="preserve"> 对具备鉴定条件的案件由案件受理人员与委托人签订《司法鉴定协议书》。</w:t>
      </w:r>
    </w:p>
    <w:p w14:paraId="0CD3C287"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6.1.6</w:t>
        </w:r>
      </w:smartTag>
      <w:r w:rsidRPr="008F2731">
        <w:rPr>
          <w:rFonts w:ascii="宋体" w:hAnsi="宋体" w:hint="eastAsia"/>
          <w:sz w:val="24"/>
        </w:rPr>
        <w:t xml:space="preserve"> 案件受理人员将接收的原始检材及相关文件送达档案管理部门，档案管理人员按照收案的时间顺序编写收案号，对原始检材做唯一性标识，并填写检材管理文档。</w:t>
      </w:r>
    </w:p>
    <w:p w14:paraId="32DA7D80"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6.1.7</w:t>
        </w:r>
      </w:smartTag>
      <w:r w:rsidRPr="008F2731">
        <w:rPr>
          <w:rFonts w:ascii="宋体" w:hAnsi="宋体" w:hint="eastAsia"/>
          <w:sz w:val="24"/>
        </w:rPr>
        <w:t xml:space="preserve"> 鉴定技术负责人根据鉴定项目将案件分配给鉴定技术人员，鉴定技术人员填写完《检材使用登记表》后从档案管理部门提取原始检材，对原始检材制作检材副本。</w:t>
      </w:r>
    </w:p>
    <w:p w14:paraId="030D63C8" w14:textId="77777777" w:rsidR="00160EEC" w:rsidRPr="008F2731" w:rsidRDefault="00160EEC" w:rsidP="008F2731">
      <w:pPr>
        <w:spacing w:line="360" w:lineRule="auto"/>
        <w:ind w:firstLineChars="200" w:firstLine="480"/>
        <w:rPr>
          <w:rFonts w:ascii="宋体" w:hAnsi="宋体" w:hint="eastAsia"/>
          <w:sz w:val="24"/>
        </w:rPr>
      </w:pPr>
      <w:smartTag w:uri="urn:schemas-microsoft-com:office:smarttags" w:element="chsdate">
        <w:smartTagPr>
          <w:attr w:name="Year" w:val="1899"/>
          <w:attr w:name="Month" w:val="12"/>
          <w:attr w:name="Day" w:val="30"/>
          <w:attr w:name="IsLunarDate" w:val="False"/>
          <w:attr w:name="IsROCDate" w:val="False"/>
        </w:smartTagPr>
        <w:r w:rsidRPr="008F2731">
          <w:rPr>
            <w:rFonts w:ascii="宋体" w:hAnsi="宋体" w:hint="eastAsia"/>
            <w:sz w:val="24"/>
          </w:rPr>
          <w:t>6.1.8</w:t>
        </w:r>
      </w:smartTag>
      <w:r w:rsidRPr="008F2731">
        <w:rPr>
          <w:rFonts w:ascii="宋体" w:hAnsi="宋体" w:hint="eastAsia"/>
          <w:sz w:val="24"/>
        </w:rPr>
        <w:t xml:space="preserve"> 鉴定技术人员制作完检材副本后，将原始检材送还档案管理部门，检材副本用于鉴定分析。</w:t>
      </w:r>
    </w:p>
    <w:p w14:paraId="33B99FB0"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6.2 实施鉴定</w:t>
      </w:r>
    </w:p>
    <w:p w14:paraId="732FE6F9"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鉴定技术人员应严格遵照《司法鉴定程序通则》的要求，在规定时间内完成鉴定工作，记录检验结果，给出鉴定结论。同时，实施鉴定过程中的操作行为需遵守本规范 “5 鉴定操作要求”的描述。</w:t>
      </w:r>
    </w:p>
    <w:p w14:paraId="0FBCCC9B"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6.3 出具文书</w:t>
      </w:r>
    </w:p>
    <w:p w14:paraId="59020A62"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鉴定技术人员应遵照《司法鉴定程序通则》和《司法鉴定文书规范》的要求制作文书。文书制作完成后，由鉴定技术人员签字，由授权签字人签字批准并加盖司法鉴定公章。司法鉴定文书一般应当一式三份，两份交委托人收执，一份由本机构存档。案件受理人员通知委托人鉴定完成，并以与委托人约定的方式将原始检材和两份《司法鉴定文书》发送给委托人。</w:t>
      </w:r>
    </w:p>
    <w:p w14:paraId="3E5534A8" w14:textId="77777777" w:rsidR="00160EEC" w:rsidRPr="008F2731" w:rsidRDefault="008F2731" w:rsidP="008F2731">
      <w:pPr>
        <w:spacing w:line="360" w:lineRule="auto"/>
        <w:ind w:firstLineChars="200" w:firstLine="480"/>
        <w:rPr>
          <w:rFonts w:ascii="宋体" w:hAnsi="宋体" w:hint="eastAsia"/>
          <w:sz w:val="24"/>
        </w:rPr>
      </w:pPr>
      <w:r>
        <w:rPr>
          <w:rFonts w:ascii="宋体" w:hAnsi="宋体" w:hint="eastAsia"/>
          <w:sz w:val="24"/>
        </w:rPr>
        <w:t>6.4</w:t>
      </w:r>
      <w:r w:rsidR="00160EEC" w:rsidRPr="008F2731">
        <w:rPr>
          <w:rFonts w:ascii="宋体" w:hAnsi="宋体" w:hint="eastAsia"/>
          <w:sz w:val="24"/>
        </w:rPr>
        <w:t xml:space="preserve"> 鉴定流程图</w:t>
      </w:r>
    </w:p>
    <w:p w14:paraId="65D1EFD0"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鉴定流程图如图2所示。</w:t>
      </w:r>
    </w:p>
    <w:p w14:paraId="41E9F626" w14:textId="77777777" w:rsidR="00160EEC" w:rsidRPr="008F2731" w:rsidRDefault="00160EEC" w:rsidP="008F2731">
      <w:pPr>
        <w:spacing w:line="360" w:lineRule="auto"/>
        <w:ind w:firstLineChars="200" w:firstLine="480"/>
        <w:rPr>
          <w:rFonts w:ascii="宋体" w:hAnsi="宋体"/>
          <w:sz w:val="24"/>
        </w:rPr>
      </w:pPr>
    </w:p>
    <w:p w14:paraId="4794E5BF" w14:textId="77777777" w:rsidR="00160EEC" w:rsidRPr="008F2731" w:rsidRDefault="00160EEC" w:rsidP="008F2731">
      <w:pPr>
        <w:spacing w:line="360" w:lineRule="auto"/>
        <w:jc w:val="center"/>
        <w:rPr>
          <w:rFonts w:ascii="宋体" w:hAnsi="宋体" w:hint="eastAsia"/>
          <w:b/>
          <w:sz w:val="24"/>
        </w:rPr>
      </w:pPr>
      <w:r w:rsidRPr="008F2731">
        <w:rPr>
          <w:rFonts w:ascii="宋体" w:hAnsi="宋体" w:hint="eastAsia"/>
          <w:b/>
          <w:sz w:val="24"/>
        </w:rPr>
        <w:t>图2 鉴定流程图</w:t>
      </w:r>
    </w:p>
    <w:p w14:paraId="363EB757"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7.鉴定文书规范</w:t>
      </w:r>
    </w:p>
    <w:p w14:paraId="1F0C4E1D"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参照《司法鉴定文书规范》执行。</w:t>
      </w:r>
    </w:p>
    <w:p w14:paraId="361D6948"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8.参考文献</w:t>
      </w:r>
    </w:p>
    <w:p w14:paraId="215CB238"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《司法鉴定机构资质认定评审准则（试行）》</w:t>
      </w:r>
    </w:p>
    <w:p w14:paraId="7C2DD79F"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《司法鉴定程序通则》  司法部令第107号</w:t>
      </w:r>
    </w:p>
    <w:p w14:paraId="05B5E155" w14:textId="77777777" w:rsidR="00160EEC" w:rsidRPr="008F2731" w:rsidRDefault="00160EEC" w:rsidP="008F2731">
      <w:pPr>
        <w:spacing w:line="360" w:lineRule="auto"/>
        <w:ind w:firstLineChars="200" w:firstLine="480"/>
        <w:rPr>
          <w:rFonts w:ascii="宋体" w:hAnsi="宋体" w:hint="eastAsia"/>
          <w:sz w:val="24"/>
        </w:rPr>
      </w:pPr>
      <w:r w:rsidRPr="008F2731">
        <w:rPr>
          <w:rFonts w:ascii="宋体" w:hAnsi="宋体" w:hint="eastAsia"/>
          <w:sz w:val="24"/>
        </w:rPr>
        <w:t>《司法鉴定文书规范》</w:t>
      </w:r>
    </w:p>
    <w:p w14:paraId="2D922304" w14:textId="77777777" w:rsidR="00160EEC" w:rsidRPr="008F2731" w:rsidRDefault="00160EEC" w:rsidP="008F2731">
      <w:pPr>
        <w:spacing w:line="360" w:lineRule="auto"/>
        <w:ind w:firstLineChars="200" w:firstLine="480"/>
        <w:rPr>
          <w:rFonts w:ascii="宋体" w:hAnsi="宋体"/>
          <w:sz w:val="24"/>
        </w:rPr>
      </w:pPr>
      <w:r w:rsidRPr="008F2731">
        <w:rPr>
          <w:rFonts w:ascii="宋体" w:hAnsi="宋体" w:hint="eastAsia"/>
          <w:sz w:val="24"/>
        </w:rPr>
        <w:t>ISO/IEC 17025－2005  《检测和校准实验室能力的通用要求》</w:t>
      </w:r>
    </w:p>
    <w:sectPr w:rsidR="00160EEC" w:rsidRPr="008F2731">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0AD0D2" w14:textId="77777777" w:rsidR="00193C9D" w:rsidRDefault="00193C9D" w:rsidP="00193C9D">
      <w:r>
        <w:separator/>
      </w:r>
    </w:p>
  </w:endnote>
  <w:endnote w:type="continuationSeparator" w:id="0">
    <w:p w14:paraId="14CD328F" w14:textId="77777777" w:rsidR="00193C9D" w:rsidRDefault="00193C9D" w:rsidP="00193C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506436A" w14:textId="77777777" w:rsidR="00193C9D" w:rsidRDefault="00193C9D" w:rsidP="00193C9D">
      <w:r>
        <w:separator/>
      </w:r>
    </w:p>
  </w:footnote>
  <w:footnote w:type="continuationSeparator" w:id="0">
    <w:p w14:paraId="7316DA11" w14:textId="77777777" w:rsidR="00193C9D" w:rsidRDefault="00193C9D" w:rsidP="00193C9D">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bordersDoNotSurroundHeader/>
  <w:bordersDoNotSurroundFooter/>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60EEC"/>
    <w:rsid w:val="00160EEC"/>
    <w:rsid w:val="00193C9D"/>
    <w:rsid w:val="00374DAC"/>
    <w:rsid w:val="008F2731"/>
    <w:rsid w:val="009E286E"/>
    <w:rsid w:val="00E07EF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hapeDefaults>
    <o:shapedefaults v:ext="edit" spidmax="2050"/>
    <o:shapelayout v:ext="edit">
      <o:idmap v:ext="edit" data="1"/>
    </o:shapelayout>
  </w:shapeDefaults>
  <w:decimalSymbol w:val="."/>
  <w:listSeparator w:val=","/>
  <w14:docId w14:val="7E1BF505"/>
  <w15:chartTrackingRefBased/>
  <w15:docId w15:val="{9BE0A837-28B4-400B-9612-E2B5F69137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customStyle="1" w:styleId="a3">
    <w:name w:val="a"/>
    <w:basedOn w:val="a"/>
    <w:rsid w:val="00160EEC"/>
    <w:pPr>
      <w:widowControl/>
      <w:spacing w:before="100" w:beforeAutospacing="1" w:after="100" w:afterAutospacing="1"/>
      <w:jc w:val="left"/>
    </w:pPr>
    <w:rPr>
      <w:rFonts w:ascii="宋体" w:hAnsi="宋体" w:cs="宋体"/>
      <w:kern w:val="0"/>
      <w:sz w:val="24"/>
    </w:rPr>
  </w:style>
  <w:style w:type="paragraph" w:styleId="a4">
    <w:name w:val="Document Map"/>
    <w:basedOn w:val="a"/>
    <w:semiHidden/>
    <w:rsid w:val="00374DAC"/>
    <w:pPr>
      <w:shd w:val="clear" w:color="auto" w:fill="000080"/>
    </w:pPr>
  </w:style>
  <w:style w:type="paragraph" w:styleId="a5">
    <w:name w:val="header"/>
    <w:basedOn w:val="a"/>
    <w:link w:val="a6"/>
    <w:rsid w:val="00193C9D"/>
    <w:pPr>
      <w:tabs>
        <w:tab w:val="center" w:pos="4153"/>
        <w:tab w:val="right" w:pos="8306"/>
      </w:tabs>
      <w:snapToGrid w:val="0"/>
      <w:jc w:val="center"/>
    </w:pPr>
    <w:rPr>
      <w:sz w:val="18"/>
      <w:szCs w:val="18"/>
    </w:rPr>
  </w:style>
  <w:style w:type="character" w:customStyle="1" w:styleId="a6">
    <w:name w:val="页眉 字符"/>
    <w:basedOn w:val="a0"/>
    <w:link w:val="a5"/>
    <w:rsid w:val="00193C9D"/>
    <w:rPr>
      <w:kern w:val="2"/>
      <w:sz w:val="18"/>
      <w:szCs w:val="18"/>
    </w:rPr>
  </w:style>
  <w:style w:type="paragraph" w:styleId="a7">
    <w:name w:val="footer"/>
    <w:basedOn w:val="a"/>
    <w:link w:val="a8"/>
    <w:rsid w:val="00193C9D"/>
    <w:pPr>
      <w:tabs>
        <w:tab w:val="center" w:pos="4153"/>
        <w:tab w:val="right" w:pos="8306"/>
      </w:tabs>
      <w:snapToGrid w:val="0"/>
      <w:jc w:val="left"/>
    </w:pPr>
    <w:rPr>
      <w:sz w:val="18"/>
      <w:szCs w:val="18"/>
    </w:rPr>
  </w:style>
  <w:style w:type="character" w:customStyle="1" w:styleId="a8">
    <w:name w:val="页脚 字符"/>
    <w:basedOn w:val="a0"/>
    <w:link w:val="a7"/>
    <w:rsid w:val="00193C9D"/>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592</Words>
  <Characters>3377</Characters>
  <Application>Microsoft Office Word</Application>
  <DocSecurity>0</DocSecurity>
  <Lines>28</Lines>
  <Paragraphs>7</Paragraphs>
  <ScaleCrop>false</ScaleCrop>
  <Company>XYZH CPA</Company>
  <LinksUpToDate>false</LinksUpToDate>
  <CharactersWithSpaces>3962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北京市司法鉴定协会</dc:title>
  <dc:subject/>
  <dc:creator>XYZH USER</dc:creator>
  <cp:keywords/>
  <dc:description/>
  <cp:lastModifiedBy>shijian dai</cp:lastModifiedBy>
  <cp:revision>2</cp:revision>
  <dcterms:created xsi:type="dcterms:W3CDTF">2026-09-02T14:43:00Z</dcterms:created>
  <dcterms:modified xsi:type="dcterms:W3CDTF">2026-09-02T14:43:00Z</dcterms:modified>
</cp:coreProperties>
</file>