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65C2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Transformer Protection and Control Relay</w:t>
      </w:r>
    </w:p>
    <w:p w14:paraId="767350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RET615</w:t>
      </w:r>
    </w:p>
    <w:p w14:paraId="24F765D5">
      <w:pPr>
        <w:rPr>
          <w:rFonts w:hint="eastAsia"/>
          <w:lang w:val="en-US" w:eastAsia="zh-CN"/>
        </w:rPr>
      </w:pPr>
      <w:bookmarkStart w:id="0" w:name="_GoBack"/>
      <w:bookmarkEnd w:id="0"/>
    </w:p>
    <w:p w14:paraId="795FC35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Description:</w:t>
      </w:r>
    </w:p>
    <w:p w14:paraId="7D9CA4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RET615 is a dedicated transformer protection and control relay for power transformers, unit and step-up transformers including power generator-transformer blocks in utility and industry power distribution systems. RET615 is a member of ABB’s Relion® product family and part of its 615 protection and control product series. The 615 series relays are characterized by their compactness and withdrawable-unit design. Re-engineered from the ground up, the 615 series has been designed to unleash the full potential of the IEC 61850 standard for communication and interoperability between substation automation devices. </w:t>
      </w:r>
    </w:p>
    <w:p w14:paraId="3666DC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2748736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Product benefits</w:t>
      </w:r>
      <w:r>
        <w:rPr>
          <w:rFonts w:hint="eastAsia"/>
          <w:b/>
          <w:bCs/>
          <w:lang w:val="en-US" w:eastAsia="zh-CN"/>
        </w:rPr>
        <w:t>:</w:t>
      </w:r>
    </w:p>
    <w:p w14:paraId="112FFCF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Compact and versatile solution for utility and industrial power distribution systems with integration of protection, control, monitoring and supervision in one relay</w:t>
      </w:r>
    </w:p>
    <w:p w14:paraId="31D26AE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Extensive range of protection and control functionality for two-winding power transformers, including advanced and fast differential protection with high inrush stability</w:t>
      </w:r>
    </w:p>
    <w:p w14:paraId="4109E31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Ready-made standard configurations – matching the most commonly employed vector groups – for fast and easy setup with tailoring capabilities</w:t>
      </w:r>
    </w:p>
    <w:p w14:paraId="2F79525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Withdrawable plug-in unit for swift installation and testing</w:t>
      </w:r>
    </w:p>
    <w:p w14:paraId="342E17A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 graphical display showing customizable SLDs, accessible either locally or through an easy-to-use web-browser-based HMI</w:t>
      </w:r>
    </w:p>
    <w:p w14:paraId="7A738E3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Extensive life-cycle services</w:t>
      </w:r>
    </w:p>
    <w:p w14:paraId="577A7897">
      <w:pPr>
        <w:rPr>
          <w:rFonts w:hint="default"/>
          <w:lang w:val="en-US" w:eastAsia="zh-CN"/>
        </w:rPr>
      </w:pPr>
    </w:p>
    <w:p w14:paraId="4549F1E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Product features</w:t>
      </w:r>
      <w:r>
        <w:rPr>
          <w:rFonts w:hint="eastAsia"/>
          <w:b/>
          <w:bCs/>
          <w:lang w:val="en-US" w:eastAsia="zh-CN"/>
        </w:rPr>
        <w:t>:</w:t>
      </w:r>
    </w:p>
    <w:p w14:paraId="0BFC48F1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Transformer differential with voltage protection and measurement functionality</w:t>
      </w:r>
    </w:p>
    <w:p w14:paraId="6813965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Supports various neutral earthing options, matching either high-impedance or numerically low-impedance restricted earth-fault principles</w:t>
      </w:r>
    </w:p>
    <w:p w14:paraId="63B2A35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Optional arc protection and high-speed outputs</w:t>
      </w:r>
    </w:p>
    <w:p w14:paraId="0097380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Supports IEC 61850 Editions 1 and 2, including HSR and PRP, GOOSE messaging and IEC 61850-9-2 LE for less wiring and supervised communication</w:t>
      </w:r>
    </w:p>
    <w:p w14:paraId="2560BCA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IEEE 1588 V2 for high-accuracy time synchronization and maximum benefit of substation-level Ethernet communication</w:t>
      </w:r>
    </w:p>
    <w:p w14:paraId="67D5A334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Supports Modbus, DNP3 and IEC 60870-5-103 communication protocols</w:t>
      </w:r>
    </w:p>
    <w:p w14:paraId="6821611C">
      <w:pPr>
        <w:rPr>
          <w:rFonts w:hint="default"/>
          <w:lang w:val="en-US" w:eastAsia="zh-CN"/>
        </w:rPr>
      </w:pPr>
    </w:p>
    <w:p w14:paraId="0128FAB4">
      <w:pPr>
        <w:rPr>
          <w:rFonts w:hint="default"/>
          <w:lang w:val="en-US" w:eastAsia="zh-CN"/>
        </w:rPr>
      </w:pPr>
    </w:p>
    <w:p w14:paraId="4AD7EAD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CCFFA"/>
    <w:multiLevelType w:val="singleLevel"/>
    <w:tmpl w:val="157CCF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58A8E0B"/>
    <w:multiLevelType w:val="singleLevel"/>
    <w:tmpl w:val="658A8E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32D2"/>
    <w:rsid w:val="2D373004"/>
    <w:rsid w:val="38F5305B"/>
    <w:rsid w:val="623607C0"/>
    <w:rsid w:val="7FD6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Office_12.8.2.18913_F1E327BC-269C-435d-A152-05C5408002CA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2024-12-23T06:50:00Z</dcterms:created>
  <dc:creator>hope</dc:creator>
  <cp:lastModifiedBy>hope</cp:lastModifiedBy>
  <dcterms:modified xsi:type="dcterms:W3CDTF">2024-12-24T02:52:33Z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2052-12.8.2.18913</vt:lpwstr>
  </property>
  <property fmtid="{D5CDD505-2E9C-101B-9397-08002B2CF9AE}" pid="3" name="ICV">
    <vt:lpwstr>9A503F000B4046EF8718FB373EC91E4A_12</vt:lpwstr>
  </property>
</Properties>
</file>