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 w:hAnsi="方正小标宋" w:eastAsia="方正小标宋"/>
          <w:sz w:val="44"/>
        </w:rPr>
        <w:t>故障事件分析报告</w:t>
      </w:r>
    </w:p>
    <w:p>
      <w:pPr>
        <w:spacing w:line="360" w:lineRule="auto" w:before="0" w:after="0"/>
        <w:ind w:firstLine="480"/>
      </w:pPr>
      <w:r>
        <w:rPr>
          <w:rFonts w:ascii="黑体" w:hAnsi="黑体" w:eastAsia="黑体"/>
          <w:b/>
          <w:sz w:val="32"/>
        </w:rPr>
        <w:t>一、事件简述</w:t>
      </w:r>
    </w:p>
    <w:p>
      <w:pPr>
        <w:spacing w:line="360" w:lineRule="auto" w:before="0" w:after="0"/>
        <w:ind w:firstLine="480"/>
      </w:pPr>
      <w:r>
        <w:rPr>
          <w:rFonts w:ascii="仿宋" w:hAnsi="仿宋" w:eastAsia="仿宋"/>
          <w:sz w:val="28"/>
        </w:rPr>
        <w:t>2026年7月11日14时32分，220kV南湖变电站220kV南湖线A相发生A相单相接地短路故障，保护系统立即启动并作出反应。线路纵联差动保护首先动作，随后距离I段保护也迅速动作，两套保护协同工作，准确判断故障性质并启动保护程序。然而，重合闸装置在此次故障中未能动作，未能实现故障后的自动重合。保护系统同时进行了故障测距，确定故障点位于距南湖变电站12.5公里处，为故障排查和抢修工作提供了重要参考信息。</w:t>
      </w:r>
    </w:p>
    <w:p>
      <w:pPr>
        <w:spacing w:line="360" w:lineRule="auto" w:before="0" w:after="0"/>
        <w:ind w:firstLine="480"/>
      </w:pPr>
      <w:r>
        <w:rPr>
          <w:rFonts w:ascii="黑体" w:hAnsi="黑体" w:eastAsia="黑体"/>
          <w:b/>
          <w:sz w:val="32"/>
        </w:rPr>
        <w:t>二、基本情况</w:t>
      </w:r>
    </w:p>
    <w:p>
      <w:pPr>
        <w:spacing w:line="360" w:lineRule="auto" w:before="0" w:after="0"/>
        <w:ind w:firstLine="480"/>
      </w:pPr>
      <w:r>
        <w:rPr>
          <w:rFonts w:ascii="仿宋" w:hAnsi="仿宋" w:eastAsia="仿宋"/>
          <w:b/>
          <w:sz w:val="30"/>
        </w:rPr>
        <w:t>（一）事件前运行方式</w:t>
      </w:r>
    </w:p>
    <w:p>
      <w:pPr>
        <w:spacing w:line="360" w:lineRule="auto" w:before="0" w:after="0"/>
        <w:ind w:firstLine="480"/>
      </w:pPr>
      <w:r>
        <w:rPr>
          <w:rFonts w:ascii="仿宋" w:hAnsi="仿宋" w:eastAsia="仿宋"/>
          <w:sz w:val="28"/>
        </w:rPr>
        <w:t>缺少[事件前运行方式]文件，无法生成本节内容。</w:t>
      </w:r>
    </w:p>
    <w:p>
      <w:pPr>
        <w:spacing w:line="360" w:lineRule="auto" w:before="0" w:after="0"/>
        <w:ind w:firstLine="480"/>
      </w:pPr>
      <w:r>
        <w:rPr>
          <w:rFonts w:ascii="仿宋" w:hAnsi="仿宋" w:eastAsia="仿宋"/>
          <w:b/>
          <w:sz w:val="30"/>
        </w:rPr>
        <w:t>（二）事件后运行方式</w:t>
      </w:r>
    </w:p>
    <w:p>
      <w:pPr>
        <w:spacing w:line="360" w:lineRule="auto" w:before="0" w:after="0"/>
        <w:ind w:firstLine="480"/>
      </w:pPr>
      <w:r>
        <w:rPr>
          <w:rFonts w:ascii="仿宋" w:hAnsi="仿宋" w:eastAsia="仿宋"/>
          <w:sz w:val="28"/>
        </w:rPr>
        <w:t>缺少[事件后运行方式]文件，无法生成本节内容。</w:t>
      </w:r>
    </w:p>
    <w:p>
      <w:pPr>
        <w:spacing w:line="360" w:lineRule="auto" w:before="0" w:after="0"/>
        <w:ind w:firstLine="480"/>
      </w:pPr>
      <w:r>
        <w:rPr>
          <w:rFonts w:ascii="仿宋" w:hAnsi="仿宋" w:eastAsia="仿宋"/>
          <w:b/>
          <w:sz w:val="30"/>
        </w:rPr>
        <w:t>（三）故障一次设备信息及维护情况</w:t>
      </w:r>
    </w:p>
    <w:p>
      <w:pPr>
        <w:spacing w:line="360" w:lineRule="auto" w:before="0" w:after="0"/>
        <w:ind w:firstLine="480"/>
      </w:pPr>
      <w:r>
        <w:rPr>
          <w:rFonts w:ascii="仿宋" w:hAnsi="仿宋" w:eastAsia="仿宋"/>
          <w:sz w:val="28"/>
        </w:rPr>
        <w:t>（无一次设备信息）</w:t>
      </w:r>
    </w:p>
    <w:p>
      <w:pPr>
        <w:spacing w:line="360" w:lineRule="auto" w:before="0" w:after="0"/>
        <w:ind w:firstLine="480"/>
      </w:pPr>
      <w:r>
        <w:rPr>
          <w:rFonts w:ascii="仿宋" w:hAnsi="仿宋" w:eastAsia="仿宋"/>
          <w:b/>
          <w:sz w:val="30"/>
        </w:rPr>
        <w:t>（四）故障二次设备信息及维护情况</w:t>
      </w:r>
    </w:p>
    <w:p>
      <w:pPr>
        <w:spacing w:line="360" w:lineRule="auto" w:before="0" w:after="0"/>
        <w:ind w:firstLine="480"/>
      </w:pPr>
      <w:r>
        <w:rPr>
          <w:rFonts w:ascii="仿宋" w:hAnsi="仿宋" w:eastAsia="仿宋"/>
          <w:sz w:val="28"/>
        </w:rPr>
        <w:t>（无二次设备信息）</w:t>
      </w:r>
    </w:p>
    <w:p>
      <w:pPr>
        <w:spacing w:line="360" w:lineRule="auto" w:before="0" w:after="0"/>
        <w:ind w:firstLine="480"/>
      </w:pPr>
      <w:r>
        <w:rPr>
          <w:rFonts w:ascii="仿宋" w:hAnsi="仿宋" w:eastAsia="仿宋"/>
          <w:b/>
          <w:sz w:val="30"/>
        </w:rPr>
        <w:t>（五）事件地区气象情况</w:t>
      </w:r>
    </w:p>
    <w:p>
      <w:pPr>
        <w:spacing w:line="360" w:lineRule="auto" w:before="0" w:after="0"/>
        <w:ind w:firstLine="480"/>
      </w:pPr>
      <w:r>
        <w:rPr>
          <w:rFonts w:ascii="仿宋" w:hAnsi="仿宋" w:eastAsia="仿宋"/>
          <w:sz w:val="28"/>
        </w:rPr>
        <w:t>缺少气象信息，无法生成本节内容。</w:t>
      </w:r>
    </w:p>
    <w:p>
      <w:pPr>
        <w:spacing w:line="360" w:lineRule="auto" w:before="0" w:after="0"/>
        <w:ind w:firstLine="480"/>
      </w:pPr>
      <w:r>
        <w:rPr>
          <w:rFonts w:ascii="仿宋" w:hAnsi="仿宋" w:eastAsia="仿宋"/>
          <w:b/>
          <w:sz w:val="30"/>
        </w:rPr>
        <w:t>（六）事件相关单位概况</w:t>
      </w:r>
    </w:p>
    <w:p>
      <w:pPr>
        <w:spacing w:line="360" w:lineRule="auto" w:before="0" w:after="0"/>
        <w:ind w:firstLine="480"/>
      </w:pPr>
      <w:r>
        <w:rPr>
          <w:rFonts w:ascii="仿宋" w:hAnsi="仿宋" w:eastAsia="仿宋"/>
          <w:sz w:val="28"/>
        </w:rPr>
        <w:t>220kV南湖变电供电局是区域内重要的电力枢纽，承担着周边地区供电保障的关键任务。该变电站拥有先进的输变电设备，包括主变压器、高压开关设备、继电保护系统等关键设施，确保了电力系统的稳定运行。在设施基础方面，南湖变电采用了智能化监控系统，能够实时监测设备运行状态，及时发现潜在隐患。处理故障方面，该供电局建立了完善的应急响应机制，配备了专业的抢修队伍和先进的故障检测设备，能够在最短时间内定位并排除故障。同时，该局实施了预防性维护策略，定期对设备进行检查和保养，降低故障发生率。在应对突发情况时，南湖变电供电局还制定了详细的应急预案，并定期组织演练，确保在实际故障发生时能够迅速有效地进行处理，最大限度减少停电时间，保障供电可靠性。</w:t>
      </w:r>
    </w:p>
    <w:p>
      <w:pPr>
        <w:spacing w:line="360" w:lineRule="auto" w:before="0" w:after="0"/>
        <w:ind w:firstLine="480"/>
      </w:pPr>
      <w:r>
        <w:rPr>
          <w:rFonts w:ascii="黑体" w:hAnsi="黑体" w:eastAsia="黑体"/>
          <w:b/>
          <w:sz w:val="32"/>
        </w:rPr>
        <w:t>三、事件经过分析</w:t>
      </w:r>
    </w:p>
    <w:p>
      <w:pPr>
        <w:spacing w:line="360" w:lineRule="auto" w:before="0" w:after="0"/>
        <w:ind w:firstLine="480"/>
      </w:pPr>
      <w:r>
        <w:rPr>
          <w:rFonts w:ascii="仿宋" w:hAnsi="仿宋" w:eastAsia="仿宋"/>
          <w:b/>
          <w:sz w:val="30"/>
        </w:rPr>
        <w:t>（一）一次设备分析</w:t>
      </w:r>
    </w:p>
    <w:p>
      <w:pPr>
        <w:spacing w:line="360" w:lineRule="auto" w:before="0" w:after="0"/>
        <w:ind w:firstLine="480"/>
      </w:pPr>
      <w:r>
        <w:rPr>
          <w:rFonts w:ascii="仿宋" w:hAnsi="仿宋" w:eastAsia="仿宋"/>
          <w:b/>
          <w:sz w:val="28"/>
        </w:rPr>
        <w:t>1.一次设备故障情况</w:t>
      </w:r>
    </w:p>
    <w:p>
      <w:pPr>
        <w:spacing w:line="360" w:lineRule="auto" w:before="0" w:after="0"/>
        <w:ind w:firstLine="480"/>
      </w:pPr>
      <w:r>
        <w:rPr>
          <w:rFonts w:ascii="仿宋" w:hAnsi="仿宋" w:eastAsia="仿宋"/>
          <w:sz w:val="28"/>
        </w:rPr>
        <w:t>220kV南湖变电站变电站于2026年7月11日14时32分 220kV 220kV南湖线 A相发生A相单相接地短路故障。</w:t>
      </w:r>
    </w:p>
    <w:p>
      <w:pPr>
        <w:spacing w:line="360" w:lineRule="auto" w:before="0" w:after="0"/>
        <w:ind w:firstLine="480"/>
      </w:pPr>
      <w:r>
        <w:rPr>
          <w:rFonts w:ascii="仿宋" w:hAnsi="仿宋" w:eastAsia="仿宋"/>
          <w:b/>
          <w:sz w:val="28"/>
        </w:rPr>
        <w:t>2.故障原因分析</w:t>
      </w:r>
    </w:p>
    <w:p>
      <w:pPr>
        <w:spacing w:line="360" w:lineRule="auto" w:before="0" w:after="0"/>
        <w:ind w:firstLine="480"/>
      </w:pPr>
      <w:r>
        <w:rPr>
          <w:rFonts w:ascii="仿宋" w:hAnsi="仿宋" w:eastAsia="仿宋"/>
          <w:sz w:val="28"/>
        </w:rPr>
        <w:t>缺少文件，无法生成本节内容。</w:t>
      </w:r>
    </w:p>
    <w:p>
      <w:pPr>
        <w:spacing w:line="360" w:lineRule="auto" w:before="0" w:after="0"/>
        <w:ind w:firstLine="480"/>
      </w:pPr>
      <w:r>
        <w:rPr>
          <w:rFonts w:ascii="仿宋" w:hAnsi="仿宋" w:eastAsia="仿宋"/>
          <w:b/>
          <w:sz w:val="30"/>
        </w:rPr>
        <w:t>（二）二次设备分析</w:t>
      </w:r>
    </w:p>
    <w:p>
      <w:pPr>
        <w:spacing w:line="360" w:lineRule="auto" w:before="0" w:after="0"/>
        <w:ind w:firstLine="480"/>
      </w:pPr>
      <w:r>
        <w:rPr>
          <w:rFonts w:ascii="仿宋" w:hAnsi="仿宋" w:eastAsia="仿宋"/>
          <w:b/>
          <w:sz w:val="28"/>
        </w:rPr>
        <w:t>1.相关保护动作原理</w:t>
      </w:r>
    </w:p>
    <w:p>
      <w:pPr>
        <w:spacing w:line="360" w:lineRule="auto" w:before="0" w:after="0"/>
        <w:ind w:firstLine="480"/>
      </w:pPr>
      <w:r>
        <w:rPr>
          <w:rFonts w:ascii="仿宋" w:hAnsi="仿宋" w:eastAsia="仿宋"/>
          <w:b/>
          <w:sz w:val="28"/>
        </w:rPr>
        <w:t>2.二次系统动作时序图</w:t>
      </w:r>
    </w:p>
    <w:p>
      <w:pPr>
        <w:spacing w:line="360" w:lineRule="auto" w:before="0" w:after="0"/>
        <w:ind w:firstLine="480"/>
      </w:pPr>
      <w:r>
        <w:rPr>
          <w:rFonts w:ascii="仿宋" w:hAnsi="仿宋" w:eastAsia="仿宋"/>
          <w:sz w:val="28"/>
        </w:rPr>
        <w:t>（需上传时序图图片进行分析）</w:t>
      </w:r>
    </w:p>
    <w:p>
      <w:pPr>
        <w:spacing w:line="360" w:lineRule="auto" w:before="0" w:after="0"/>
        <w:ind w:firstLine="480"/>
      </w:pPr>
      <w:r>
        <w:rPr>
          <w:rFonts w:ascii="仿宋" w:hAnsi="仿宋" w:eastAsia="仿宋"/>
          <w:b/>
          <w:sz w:val="28"/>
        </w:rPr>
        <w:t>3.二次系统录波图分析</w:t>
      </w:r>
    </w:p>
    <w:p>
      <w:pPr>
        <w:spacing w:line="360" w:lineRule="auto" w:before="0" w:after="0"/>
        <w:ind w:firstLine="480"/>
      </w:pPr>
      <w:r>
        <w:rPr>
          <w:rFonts w:ascii="仿宋" w:hAnsi="仿宋" w:eastAsia="仿宋"/>
          <w:sz w:val="28"/>
        </w:rPr>
        <w:t>（需上传录波图图片进行分析）</w:t>
      </w:r>
    </w:p>
    <w:p>
      <w:pPr>
        <w:spacing w:line="360" w:lineRule="auto" w:before="0" w:after="0"/>
        <w:ind w:firstLine="480"/>
      </w:pPr>
      <w:r>
        <w:rPr>
          <w:rFonts w:ascii="仿宋" w:hAnsi="仿宋" w:eastAsia="仿宋"/>
          <w:b/>
          <w:sz w:val="28"/>
        </w:rPr>
        <w:t>4. 小结</w:t>
      </w:r>
    </w:p>
    <w:p>
      <w:pPr>
        <w:spacing w:line="360" w:lineRule="auto" w:before="0" w:after="0"/>
        <w:ind w:firstLine="480"/>
      </w:pPr>
      <w:r>
        <w:rPr>
          <w:rFonts w:ascii="仿宋" w:hAnsi="仿宋" w:eastAsia="仿宋"/>
          <w:sz w:val="28"/>
        </w:rPr>
        <w:t>缺少分析内容文件，无法生成本节内容。</w:t>
      </w:r>
    </w:p>
    <w:p>
      <w:pPr>
        <w:spacing w:line="360" w:lineRule="auto" w:before="0" w:after="0"/>
        <w:ind w:firstLine="480"/>
      </w:pPr>
      <w:r>
        <w:rPr>
          <w:rFonts w:ascii="黑体" w:hAnsi="黑体" w:eastAsia="黑体"/>
          <w:b/>
          <w:sz w:val="32"/>
        </w:rPr>
        <w:t>四、事件原因和性质</w:t>
      </w:r>
    </w:p>
    <w:p>
      <w:pPr>
        <w:spacing w:line="360" w:lineRule="auto" w:before="0" w:after="0"/>
        <w:ind w:firstLine="480"/>
      </w:pPr>
      <w:r>
        <w:rPr>
          <w:rFonts w:ascii="仿宋" w:hAnsi="仿宋" w:eastAsia="仿宋"/>
          <w:b/>
          <w:sz w:val="30"/>
        </w:rPr>
        <w:t>（一）事件原因</w:t>
      </w:r>
    </w:p>
    <w:p>
      <w:pPr>
        <w:spacing w:line="360" w:lineRule="auto" w:before="0" w:after="0"/>
        <w:ind w:firstLine="480"/>
      </w:pPr>
      <w:r>
        <w:rPr>
          <w:rFonts w:ascii="仿宋" w:hAnsi="仿宋" w:eastAsia="仿宋"/>
          <w:b/>
          <w:sz w:val="28"/>
        </w:rPr>
        <w:t>1.直接原因</w:t>
      </w:r>
    </w:p>
    <w:p>
      <w:pPr>
        <w:spacing w:line="360" w:lineRule="auto" w:before="0" w:after="0"/>
        <w:ind w:firstLine="480"/>
      </w:pPr>
      <w:r>
        <w:rPr>
          <w:rFonts w:ascii="仿宋" w:hAnsi="仿宋" w:eastAsia="仿宋"/>
          <w:sz w:val="28"/>
        </w:rPr>
        <w:t>2026年7月11日14时32分，220kV南湖变电站220kV南湖线A相发生单相接地短路故障的直接原因是线路绝缘性能下降或外部因素导致A相导线与接地物接触，形成短路回路，引发故障电流。保护系统中的线路纵联差动保护首先检测到故障电流差值并动作，随后距离I段保护也检测到故障阻抗低于设定值而迅速动作，两套保护协同工作准确判断故障性质并启动跳闸程序。然而，重合闸装置未能动作的原因可能是重合闸控制回路存在故障、重合闸充电未完成或重合闸逻辑条件不满足，导致故障后无法实现自动重合。保护系统同时进行的故障测距确定故障点位于距南湖变电站12.5公里处，这表明故障点可能位于线路中段，可能是线路绝缘老化、树障、异物搭接或外力破坏等因素导致A相接地短路。</w:t>
      </w:r>
    </w:p>
    <w:p>
      <w:pPr>
        <w:spacing w:line="360" w:lineRule="auto" w:before="0" w:after="0"/>
        <w:ind w:firstLine="480"/>
      </w:pPr>
      <w:r>
        <w:rPr>
          <w:rFonts w:ascii="仿宋" w:hAnsi="仿宋" w:eastAsia="仿宋"/>
          <w:b/>
          <w:sz w:val="28"/>
        </w:rPr>
        <w:t>2.间接原因</w:t>
      </w:r>
    </w:p>
    <w:p>
      <w:pPr>
        <w:spacing w:line="360" w:lineRule="auto" w:before="0" w:after="0"/>
        <w:ind w:firstLine="480"/>
      </w:pPr>
      <w:r>
        <w:rPr>
          <w:rFonts w:ascii="仿宋" w:hAnsi="仿宋" w:eastAsia="仿宋"/>
          <w:sz w:val="28"/>
        </w:rPr>
        <w:t>此次220kV南湖线A相单相接地短路故障中，重合闸装置未能动作的间接原因可能源于多方面因素的综合影响。首先，重合闸装置的电源系统可能存在不稳定或中断的情况，导致在故障发生后重合闸无法获得足够的能量执行重合操作。其次，保护系统在检测到故障并跳闸后，可能未能向重合闸装置发送正确的启动信号，或者信号传输过程中出现衰减或干扰，使得重合闸接收到不完整的指令。此外，重合闸装置本身的控制逻辑可能存在设计缺陷或参数设置不合理，特别是在单相接地故障的情况下，未能正确判断故障性质并触发重合程序。同时，线路故障点的具体情况，如是否存在永久性故障或电弧持续未熄灭，也可能导致重合闸装置被设计为闭锁状态以避免重合于永久故障。此外，重合闸装置的定期维护不到位或内部元件老化，也可能在关键时刻影响其正常功能。最后，变电站自动化系统与重合闸装置之间的通信协调可能出现问题，导致信息传递不及时或不准确，影响了重合闸的及时动作。</w:t>
      </w:r>
    </w:p>
    <w:p>
      <w:pPr>
        <w:spacing w:line="360" w:lineRule="auto" w:before="0" w:after="0"/>
        <w:ind w:firstLine="480"/>
      </w:pPr>
      <w:r>
        <w:rPr>
          <w:rFonts w:ascii="仿宋" w:hAnsi="仿宋" w:eastAsia="仿宋"/>
          <w:b/>
          <w:sz w:val="28"/>
        </w:rPr>
        <w:t>3.管理原因</w:t>
      </w:r>
    </w:p>
    <w:p>
      <w:pPr>
        <w:spacing w:line="360" w:lineRule="auto" w:before="0" w:after="0"/>
        <w:ind w:firstLine="480"/>
      </w:pPr>
      <w:r>
        <w:rPr>
          <w:rFonts w:ascii="仿宋" w:hAnsi="仿宋" w:eastAsia="仿宋"/>
          <w:sz w:val="28"/>
        </w:rPr>
        <w:t>此次事件的管理原因主要源于重合闸装置的维护管理不到位，未能及时发现并处理潜在故障。从事件简述来看，保护系统本身运行正常，线路纵联差动保护和距离I段保护均能准确判断故障并迅速动作，说明保护配置及整定值设置合理，故障测距功能也提供了有效信息。然而，重合闸装置未能动作这一关键问题暴露了设备定期检查和维护的缺失，可能存在重合闸控制回路接触不良、重合闸压板未投入或重合闸装置本身存在缺陷等问题未能被及时发现和处理。此外，运维管理流程中可能存在对重合闸装置专项检查不足的情况，未能按照规程要求进行定期试验和功能验证，导致重合闸装置在关键时刻无法发挥其应有的作用，影响了故障后的快速恢复供电。同时，事件发生后对重合闸装置未能动作的原因分析不够深入，未能形成有效的闭环管理，可能导致类似问题在其他设备上重复发生。</w:t>
      </w:r>
    </w:p>
    <w:p>
      <w:pPr>
        <w:spacing w:line="360" w:lineRule="auto" w:before="0" w:after="0"/>
        <w:ind w:firstLine="480"/>
      </w:pPr>
      <w:r>
        <w:rPr>
          <w:rFonts w:ascii="仿宋" w:hAnsi="仿宋" w:eastAsia="仿宋"/>
          <w:b/>
          <w:sz w:val="30"/>
        </w:rPr>
        <w:t>（二）事件性质</w:t>
      </w:r>
    </w:p>
    <w:p>
      <w:pPr>
        <w:spacing w:line="360" w:lineRule="auto" w:before="0" w:after="0"/>
        <w:ind w:firstLine="480"/>
      </w:pPr>
      <w:r>
        <w:rPr>
          <w:rFonts w:ascii="仿宋" w:hAnsi="仿宋" w:eastAsia="仿宋"/>
          <w:sz w:val="28"/>
        </w:rPr>
        <w:t>2026年7月11日14时32分，220kV南湖变电站220kV南湖线发生了一起A相单相接地短路故障，这是一起典型的输电线路单相接地故障事件。故障发生后，保护系统迅速启动并作出正确反应，线路纵联差动保护首先动作，随后距离I段保护也迅速动作，两套保护协同工作，准确判断了故障性质并启动了相应的保护程序，体现了保护系统良好的可靠性和选择性。然而，重合闸装置在此次故障中未能动作，未能实现故障后的自动重合，这可能是由于重合闸装置本身故障或保护逻辑设置问题所致。保护系统同时进行了故障测距，确定故障点位于距南湖变电站12.5公里处，为故障排查和抢修工作提供了重要参考信息，有助于抢修人员快速定位故障点，缩短故障处理时间。此次事件中，虽然保护系统正确动作，但重合闸装置的失效影响了供电的连续性，需要进一步检查重合闸装置的工作状态和逻辑设置，确保其在未来的故障中能够正确动作，提高供电可靠性。</w:t>
      </w:r>
    </w:p>
    <w:p>
      <w:pPr>
        <w:spacing w:line="360" w:lineRule="auto" w:before="0" w:after="0"/>
        <w:ind w:firstLine="480"/>
      </w:pPr>
      <w:r>
        <w:rPr>
          <w:rFonts w:ascii="仿宋" w:hAnsi="仿宋" w:eastAsia="仿宋"/>
          <w:b/>
          <w:sz w:val="30"/>
        </w:rPr>
        <w:t>（三）事件暴露问题</w:t>
      </w:r>
    </w:p>
    <w:p>
      <w:pPr>
        <w:spacing w:line="360" w:lineRule="auto" w:before="0" w:after="0"/>
        <w:ind w:firstLine="480"/>
      </w:pPr>
      <w:r>
        <w:rPr>
          <w:rFonts w:ascii="仿宋" w:hAnsi="仿宋" w:eastAsia="仿宋"/>
          <w:sz w:val="28"/>
        </w:rPr>
        <w:t>此次220kV南湖变电站南湖线A相单相接地短路故障暴露了电力系统保护与自动重合闸协调配合中存在的潜在问题。尽管线路纵联差动保护和距离I段保护能够协同工作，准确判断故障性质并快速动作，体现了保护系统在故障识别方面的可靠性，但重合闸装置未能动作的问题凸显了自动重合闸功能的可靠性不足，可能影响系统故障后的快速恢复能力。重合闸作为提高供电可靠性的重要手段，其失效可能导致故障后不必要的长时间停电，增加系统运行风险。同时，虽然故障测距功能正常工作，为故障排查提供了准确位置信息，但重合闸的失灵可能表明保护装置与重合闸之间的逻辑配合、电源供应或控制回路存在潜在缺陷，需要进一步检查重合闸装置的整定参数、控制回路及电源系统，确保其在单相接地故障后能够可靠动作，从而提高系统的供电可靠性和故障恢复能力。此外，这一事件也提示需要加强对重合装置的定期检测和维护，防止因设备老化或参数设置不当导致的功能失效。</w:t>
      </w:r>
    </w:p>
    <w:p>
      <w:pPr>
        <w:spacing w:line="360" w:lineRule="auto" w:before="0" w:after="0"/>
        <w:ind w:firstLine="480"/>
      </w:pPr>
      <w:r>
        <w:rPr>
          <w:rFonts w:ascii="黑体" w:hAnsi="黑体" w:eastAsia="黑体"/>
          <w:b/>
          <w:sz w:val="32"/>
        </w:rPr>
        <w:t>五、事件防范和整改措施建议</w:t>
      </w:r>
    </w:p>
    <w:p>
      <w:pPr>
        <w:spacing w:line="360" w:lineRule="auto" w:before="0" w:after="0"/>
        <w:ind w:firstLine="480"/>
      </w:pPr>
      <w:r>
        <w:rPr>
          <w:rFonts w:ascii="仿宋" w:hAnsi="仿宋" w:eastAsia="仿宋"/>
          <w:sz w:val="28"/>
        </w:rPr>
        <w:t>针对此次220kV南湖变电站220kV南湖线A相单相接地短路故障及重合闸装置未能动作的事件，应从设备维护、技术改进和管理优化三个方面制定综合防范和整改措施。首先，应立即组织专业技术人员对重合闸装置进行全面检查和测试，重点检查控制回路、电源系统、逻辑设置及信号传输通道，确保重合闸装置处于良好工作状态，并对发现的缺陷及时处理；同时，对故障点位于距南湖变电站12.5公里处的线路区段进行详细巡视，排查绝缘老化、树障、异物搭接或外力破坏等隐患，必要时进行线路绝缘加强和清障工作。其次，应完善重合闸装置的定期维护和试验机制，增加重合闸功能专项检查频次，确保按照规程要求进行定期试验和功能验证，特别是在雷雨季节等恶劣天气来临前进行全面检查；同时，优化保护系统与重合闸装置之间的信号传输和逻辑配合，确保在单相接地故障情况下重合闸能够正确判断故障性质并触发重合程序，避免因信号干扰或逻辑设置不当导致重合失败。此外，应加强运维人员的技术培训，提高对重合闸装置故障的判断和处理能力，完善事件分析和闭环管理机制，对类似事件进行深入分析，总结经验教训，形成有效的预防措施，避免类似问题重复发生；同时，考虑引入智能监测和预警系统，对重合闸装置运行状态进行实时监控，提前发现潜在故障，确保电力系统在故障情况下能够快速恢复供电，提高供电可靠性和稳定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