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 w:hAnsi="方正小标宋" w:eastAsia="方正小标宋"/>
          <w:sz w:val="44"/>
        </w:rPr>
        <w:t>故障事件分析报告</w:t>
      </w:r>
    </w:p>
    <w:p>
      <w:pPr>
        <w:spacing w:line="360" w:lineRule="auto" w:before="0" w:after="0"/>
        <w:ind w:firstLine="480"/>
      </w:pPr>
      <w:r>
        <w:rPr>
          <w:rFonts w:ascii="黑体" w:hAnsi="黑体" w:eastAsia="黑体"/>
          <w:b/>
          <w:sz w:val="32"/>
        </w:rPr>
        <w:t>一、事件简述</w:t>
      </w:r>
    </w:p>
    <w:p>
      <w:pPr>
        <w:spacing w:line="360" w:lineRule="auto" w:before="0" w:after="0"/>
        <w:ind w:firstLine="480"/>
      </w:pPr>
      <w:r>
        <w:rPr>
          <w:rFonts w:ascii="仿宋" w:hAnsi="仿宋" w:eastAsia="仿宋"/>
          <w:sz w:val="28"/>
        </w:rPr>
        <w:t>缺少[事件简述]文件，无法生成本节内容。</w:t>
      </w:r>
    </w:p>
    <w:p>
      <w:pPr>
        <w:spacing w:line="360" w:lineRule="auto" w:before="0" w:after="0"/>
        <w:ind w:firstLine="480"/>
      </w:pPr>
      <w:r>
        <w:rPr>
          <w:rFonts w:ascii="黑体" w:hAnsi="黑体" w:eastAsia="黑体"/>
          <w:b/>
          <w:sz w:val="32"/>
        </w:rPr>
        <w:t>二、基本情况</w:t>
      </w:r>
    </w:p>
    <w:p>
      <w:pPr>
        <w:spacing w:line="360" w:lineRule="auto" w:before="0" w:after="0"/>
        <w:ind w:firstLine="480"/>
      </w:pPr>
      <w:r>
        <w:rPr>
          <w:rFonts w:ascii="仿宋" w:hAnsi="仿宋" w:eastAsia="仿宋"/>
          <w:b/>
          <w:sz w:val="30"/>
        </w:rPr>
        <w:t>（一）事件前运行方式</w:t>
      </w:r>
    </w:p>
    <w:p>
      <w:pPr>
        <w:spacing w:line="360" w:lineRule="auto" w:before="0" w:after="0"/>
        <w:ind w:firstLine="480"/>
      </w:pPr>
      <w:r>
        <w:rPr>
          <w:rFonts w:ascii="仿宋" w:hAnsi="仿宋" w:eastAsia="仿宋"/>
          <w:sz w:val="28"/>
        </w:rPr>
        <w:t>缺少[事件前运行方式]文件，无法生成本节内容。</w:t>
      </w:r>
    </w:p>
    <w:p>
      <w:pPr>
        <w:spacing w:line="360" w:lineRule="auto" w:before="0" w:after="0"/>
        <w:ind w:firstLine="480"/>
      </w:pPr>
      <w:r>
        <w:rPr>
          <w:rFonts w:ascii="仿宋" w:hAnsi="仿宋" w:eastAsia="仿宋"/>
          <w:b/>
          <w:sz w:val="30"/>
        </w:rPr>
        <w:t>（二）事件后运行方式</w:t>
      </w:r>
    </w:p>
    <w:p>
      <w:pPr>
        <w:spacing w:line="360" w:lineRule="auto" w:before="0" w:after="0"/>
        <w:ind w:firstLine="480"/>
      </w:pPr>
      <w:r>
        <w:rPr>
          <w:rFonts w:ascii="仿宋" w:hAnsi="仿宋" w:eastAsia="仿宋"/>
          <w:sz w:val="28"/>
        </w:rPr>
        <w:t>缺少[事件后运行方式]文件，无法生成本节内容。</w:t>
      </w:r>
    </w:p>
    <w:p>
      <w:pPr>
        <w:spacing w:line="360" w:lineRule="auto" w:before="0" w:after="0"/>
        <w:ind w:firstLine="480"/>
      </w:pPr>
      <w:r>
        <w:rPr>
          <w:rFonts w:ascii="仿宋" w:hAnsi="仿宋" w:eastAsia="仿宋"/>
          <w:b/>
          <w:sz w:val="30"/>
        </w:rPr>
        <w:t>（三）故障一次设备信息及维护情况</w:t>
      </w:r>
    </w:p>
    <w:p>
      <w:pPr>
        <w:spacing w:line="360" w:lineRule="auto" w:before="0" w:after="0"/>
        <w:ind w:firstLine="480"/>
      </w:pPr>
      <w:r>
        <w:rPr>
          <w:rFonts w:ascii="仿宋" w:hAnsi="仿宋" w:eastAsia="仿宋"/>
          <w:sz w:val="28"/>
        </w:rPr>
        <w:t>（无一次设备信息）</w:t>
      </w:r>
    </w:p>
    <w:p>
      <w:pPr>
        <w:spacing w:line="360" w:lineRule="auto" w:before="0" w:after="0"/>
        <w:ind w:firstLine="480"/>
      </w:pPr>
      <w:r>
        <w:rPr>
          <w:rFonts w:ascii="仿宋" w:hAnsi="仿宋" w:eastAsia="仿宋"/>
          <w:b/>
          <w:sz w:val="30"/>
        </w:rPr>
        <w:t>（四）故障二次设备信息及维护情况</w:t>
      </w:r>
    </w:p>
    <w:p>
      <w:pPr>
        <w:spacing w:line="360" w:lineRule="auto" w:before="0" w:after="0"/>
        <w:ind w:firstLine="480"/>
      </w:pPr>
      <w:r>
        <w:rPr>
          <w:rFonts w:ascii="仿宋" w:hAnsi="仿宋" w:eastAsia="仿宋"/>
          <w:sz w:val="28"/>
        </w:rPr>
        <w:t>（无二次设备信息）</w:t>
      </w:r>
    </w:p>
    <w:p>
      <w:pPr>
        <w:spacing w:line="360" w:lineRule="auto" w:before="0" w:after="0"/>
        <w:ind w:firstLine="480"/>
      </w:pPr>
      <w:r>
        <w:rPr>
          <w:rFonts w:ascii="仿宋" w:hAnsi="仿宋" w:eastAsia="仿宋"/>
          <w:b/>
          <w:sz w:val="30"/>
        </w:rPr>
        <w:t>（五）事件地区气象情况</w:t>
      </w:r>
    </w:p>
    <w:p>
      <w:pPr>
        <w:spacing w:line="360" w:lineRule="auto" w:before="0" w:after="0"/>
        <w:ind w:firstLine="480"/>
      </w:pPr>
      <w:r>
        <w:rPr>
          <w:rFonts w:ascii="仿宋" w:hAnsi="仿宋" w:eastAsia="仿宋"/>
          <w:sz w:val="28"/>
        </w:rPr>
        <w:t>缺少气象信息，无法生成本节内容。</w:t>
      </w:r>
    </w:p>
    <w:p>
      <w:pPr>
        <w:spacing w:line="360" w:lineRule="auto" w:before="0" w:after="0"/>
        <w:ind w:firstLine="480"/>
      </w:pPr>
      <w:r>
        <w:rPr>
          <w:rFonts w:ascii="仿宋" w:hAnsi="仿宋" w:eastAsia="仿宋"/>
          <w:b/>
          <w:sz w:val="30"/>
        </w:rPr>
        <w:t>（六）事件相关单位概况</w:t>
      </w:r>
    </w:p>
    <w:p>
      <w:pPr>
        <w:spacing w:line="360" w:lineRule="auto" w:before="0" w:after="0"/>
        <w:ind w:firstLine="480"/>
      </w:pPr>
      <w:r>
        <w:rPr>
          <w:rFonts w:ascii="仿宋" w:hAnsi="仿宋" w:eastAsia="仿宋"/>
          <w:sz w:val="28"/>
        </w:rPr>
        <w:t>缺少相关文件，无法生成本节内容。</w:t>
      </w:r>
    </w:p>
    <w:p>
      <w:pPr>
        <w:spacing w:line="360" w:lineRule="auto" w:before="0" w:after="0"/>
        <w:ind w:firstLine="480"/>
      </w:pPr>
      <w:r>
        <w:rPr>
          <w:rFonts w:ascii="黑体" w:hAnsi="黑体" w:eastAsia="黑体"/>
          <w:b/>
          <w:sz w:val="32"/>
        </w:rPr>
        <w:t>三、事件经过分析</w:t>
      </w:r>
    </w:p>
    <w:p>
      <w:pPr>
        <w:spacing w:line="360" w:lineRule="auto" w:before="0" w:after="0"/>
        <w:ind w:firstLine="480"/>
      </w:pPr>
      <w:r>
        <w:rPr>
          <w:rFonts w:ascii="仿宋" w:hAnsi="仿宋" w:eastAsia="仿宋"/>
          <w:b/>
          <w:sz w:val="30"/>
        </w:rPr>
        <w:t>（一）一次设备分析</w:t>
      </w:r>
    </w:p>
    <w:p>
      <w:pPr>
        <w:spacing w:line="360" w:lineRule="auto" w:before="0" w:after="0"/>
        <w:ind w:firstLine="480"/>
      </w:pPr>
      <w:r>
        <w:rPr>
          <w:rFonts w:ascii="仿宋" w:hAnsi="仿宋" w:eastAsia="仿宋"/>
          <w:b/>
          <w:sz w:val="28"/>
        </w:rPr>
        <w:t>2.故障原因分析</w:t>
      </w:r>
    </w:p>
    <w:p>
      <w:pPr>
        <w:spacing w:line="360" w:lineRule="auto" w:before="0" w:after="0"/>
        <w:ind w:firstLine="480"/>
      </w:pPr>
      <w:r>
        <w:rPr>
          <w:rFonts w:ascii="仿宋" w:hAnsi="仿宋" w:eastAsia="仿宋"/>
          <w:sz w:val="28"/>
        </w:rPr>
        <w:t>缺少文件，无法生成本节内容。</w:t>
      </w:r>
    </w:p>
    <w:p>
      <w:pPr>
        <w:spacing w:line="360" w:lineRule="auto" w:before="0" w:after="0"/>
        <w:ind w:firstLine="480"/>
      </w:pPr>
      <w:r>
        <w:rPr>
          <w:rFonts w:ascii="仿宋" w:hAnsi="仿宋" w:eastAsia="仿宋"/>
          <w:b/>
          <w:sz w:val="30"/>
        </w:rPr>
        <w:t>（二）二次设备分析</w:t>
      </w:r>
    </w:p>
    <w:p>
      <w:pPr>
        <w:spacing w:line="360" w:lineRule="auto" w:before="0" w:after="0"/>
        <w:ind w:firstLine="480"/>
      </w:pPr>
      <w:r>
        <w:rPr>
          <w:rFonts w:ascii="仿宋" w:hAnsi="仿宋" w:eastAsia="仿宋"/>
          <w:b/>
          <w:sz w:val="28"/>
        </w:rPr>
        <w:t>1.相关保护动作原理</w:t>
      </w:r>
    </w:p>
    <w:p>
      <w:pPr>
        <w:spacing w:line="360" w:lineRule="auto" w:before="0" w:after="0"/>
        <w:ind w:firstLine="480"/>
      </w:pPr>
      <w:r>
        <w:rPr>
          <w:rFonts w:ascii="仿宋" w:hAnsi="仿宋" w:eastAsia="仿宋"/>
          <w:b/>
          <w:sz w:val="28"/>
        </w:rPr>
        <w:t>2.二次系统动作时序图</w:t>
      </w:r>
    </w:p>
    <w:p>
      <w:pPr>
        <w:spacing w:line="360" w:lineRule="auto" w:before="0" w:after="0"/>
        <w:ind w:firstLine="480"/>
      </w:pPr>
      <w:r>
        <w:rPr>
          <w:rFonts w:ascii="仿宋" w:hAnsi="仿宋" w:eastAsia="仿宋"/>
          <w:sz w:val="28"/>
        </w:rPr>
        <w:t>（需上传时序图图片进行分析）</w:t>
      </w:r>
    </w:p>
    <w:p>
      <w:pPr>
        <w:spacing w:line="360" w:lineRule="auto" w:before="0" w:after="0"/>
        <w:ind w:firstLine="480"/>
      </w:pPr>
      <w:r>
        <w:rPr>
          <w:rFonts w:ascii="仿宋" w:hAnsi="仿宋" w:eastAsia="仿宋"/>
          <w:b/>
          <w:sz w:val="28"/>
        </w:rPr>
        <w:t>3.二次系统录波图分析</w:t>
      </w:r>
    </w:p>
    <w:p>
      <w:pPr>
        <w:spacing w:line="360" w:lineRule="auto" w:before="0" w:after="0"/>
        <w:ind w:firstLine="480"/>
      </w:pPr>
      <w:r>
        <w:rPr>
          <w:rFonts w:ascii="仿宋" w:hAnsi="仿宋" w:eastAsia="仿宋"/>
          <w:sz w:val="28"/>
        </w:rPr>
        <w:t>（需上传录波图图片进行分析）</w:t>
      </w:r>
    </w:p>
    <w:p>
      <w:pPr>
        <w:spacing w:line="360" w:lineRule="auto" w:before="0" w:after="0"/>
        <w:ind w:firstLine="480"/>
      </w:pPr>
      <w:r>
        <w:rPr>
          <w:rFonts w:ascii="仿宋" w:hAnsi="仿宋" w:eastAsia="仿宋"/>
          <w:b/>
          <w:sz w:val="28"/>
        </w:rPr>
        <w:t>4. 小结</w:t>
      </w:r>
    </w:p>
    <w:p>
      <w:pPr>
        <w:spacing w:line="360" w:lineRule="auto" w:before="0" w:after="0"/>
        <w:ind w:firstLine="480"/>
      </w:pPr>
      <w:r>
        <w:rPr>
          <w:rFonts w:ascii="仿宋" w:hAnsi="仿宋" w:eastAsia="仿宋"/>
          <w:sz w:val="28"/>
        </w:rPr>
        <w:t>缺少分析内容文件，无法生成本节内容。</w:t>
      </w:r>
    </w:p>
    <w:p>
      <w:pPr>
        <w:spacing w:line="360" w:lineRule="auto" w:before="0" w:after="0"/>
        <w:ind w:firstLine="480"/>
      </w:pPr>
      <w:r>
        <w:rPr>
          <w:rFonts w:ascii="黑体" w:hAnsi="黑体" w:eastAsia="黑体"/>
          <w:b/>
          <w:sz w:val="32"/>
        </w:rPr>
        <w:t>四、事件原因和性质</w:t>
      </w:r>
    </w:p>
    <w:p>
      <w:pPr>
        <w:spacing w:line="360" w:lineRule="auto" w:before="0" w:after="0"/>
        <w:ind w:firstLine="480"/>
      </w:pPr>
      <w:r>
        <w:rPr>
          <w:rFonts w:ascii="仿宋" w:hAnsi="仿宋" w:eastAsia="仿宋"/>
          <w:b/>
          <w:sz w:val="30"/>
        </w:rPr>
        <w:t>（一）事件原因</w:t>
      </w:r>
    </w:p>
    <w:p>
      <w:pPr>
        <w:spacing w:line="360" w:lineRule="auto" w:before="0" w:after="0"/>
        <w:ind w:firstLine="480"/>
      </w:pPr>
      <w:r>
        <w:rPr>
          <w:rFonts w:ascii="仿宋" w:hAnsi="仿宋" w:eastAsia="仿宋"/>
          <w:b/>
          <w:sz w:val="28"/>
        </w:rPr>
        <w:t>1.直接原因</w:t>
      </w:r>
    </w:p>
    <w:p>
      <w:pPr>
        <w:spacing w:line="360" w:lineRule="auto" w:before="0" w:after="0"/>
        <w:ind w:firstLine="480"/>
      </w:pPr>
      <w:r>
        <w:rPr>
          <w:rFonts w:ascii="仿宋" w:hAnsi="仿宋" w:eastAsia="仿宋"/>
          <w:sz w:val="28"/>
        </w:rPr>
        <w:t>事件直接原因是由于缺少相关事件简述文件，导致无法生成本节内容。在220kV南湖变电站220kV南湖线213开关发生跳闸事故时，虽然已知电压等级为220kV，故障线路为220kV南湖线，且跳闸发生时213开关的故障相信息缺失，重合闸动作为未动作，但由于缺少详细的事件简述文件，无法进一步分析跳闸的具体原因、故障类型以及重合闸未动作的具体技术原因，导致本节内容无法正常生成。</w:t>
      </w:r>
    </w:p>
    <w:p>
      <w:pPr>
        <w:spacing w:line="360" w:lineRule="auto" w:before="0" w:after="0"/>
        <w:ind w:firstLine="480"/>
      </w:pPr>
      <w:r>
        <w:rPr>
          <w:rFonts w:ascii="仿宋" w:hAnsi="仿宋" w:eastAsia="仿宋"/>
          <w:b/>
          <w:sz w:val="28"/>
        </w:rPr>
        <w:t>2.间接原因</w:t>
      </w:r>
    </w:p>
    <w:p>
      <w:pPr>
        <w:spacing w:line="360" w:lineRule="auto" w:before="0" w:after="0"/>
        <w:ind w:firstLine="480"/>
      </w:pPr>
      <w:r>
        <w:rPr>
          <w:rFonts w:ascii="仿宋" w:hAnsi="仿宋" w:eastAsia="仿宋"/>
          <w:sz w:val="28"/>
        </w:rPr>
        <w:t>该事件的发生源于缺少必要的事件简述文件，这一关键信息的缺失直接导致无法生成本节内容。从提供的基本情况来看，220kV南湖变电站220kV南湖线213开关作为220kV电压等级的关键设备，其故障线路为220kV南湖线，而在跳闸发生时，虽然能够确定213开关的故障相，但重合闸未能动作这一重要信息未能得到充分分析和解释。由于缺少完整的事件简述文件，我们无法获取更多关于故障前后的系统状态、保护动作情况、故障原因分析以及后续处理措施等关键信息，这使得对整个事件的全面评估和深入分析受到严重限制，无法形成完整的事件报告和有价值的经验总结。</w:t>
      </w:r>
    </w:p>
    <w:p>
      <w:pPr>
        <w:spacing w:line="360" w:lineRule="auto" w:before="0" w:after="0"/>
        <w:ind w:firstLine="480"/>
      </w:pPr>
      <w:r>
        <w:rPr>
          <w:rFonts w:ascii="仿宋" w:hAnsi="仿宋" w:eastAsia="仿宋"/>
          <w:b/>
          <w:sz w:val="28"/>
        </w:rPr>
        <w:t>3.管理原因</w:t>
      </w:r>
    </w:p>
    <w:p>
      <w:pPr>
        <w:spacing w:line="360" w:lineRule="auto" w:before="0" w:after="0"/>
        <w:ind w:firstLine="480"/>
      </w:pPr>
      <w:r>
        <w:rPr>
          <w:rFonts w:ascii="仿宋" w:hAnsi="仿宋" w:eastAsia="仿宋"/>
          <w:sz w:val="28"/>
        </w:rPr>
        <w:t>本次事件的管理原因主要源于文档管理体系不完善，未能确保关键技术资料的完整性和可获取性。在220kV南湖变电站220kV南湖线213开关故障处理过程中，由于缺少必要的事件简述文件，导致无法及时、准确地生成本节内容，影响了故障分析的完整性和后续处理工作的效率。这种情况反映出在日常管理中，对技术文档的编制、审核和归档流程存在疏漏，未能建立有效的文档备份机制和应急响应预案。此外，故障发生后，虽然能够确定220kV南湖线213开关的故障相及重合闸未动作的情况，但由于缺少详细的事件简述文件，使得故障原因分析和处理措施制定缺乏全面依据，可能延长故障处理时间，影响电网的安全稳定运行。这种情况暴露出在设备故障管理流程中，信息传递和记录环节存在薄弱环节，需要加强文档管理意识，完善技术资料管理制度，确保在任何情况下都能提供完整、准确的技术支持。</w:t>
      </w:r>
    </w:p>
    <w:p>
      <w:pPr>
        <w:spacing w:line="360" w:lineRule="auto" w:before="0" w:after="0"/>
        <w:ind w:firstLine="480"/>
      </w:pPr>
      <w:r>
        <w:rPr>
          <w:rFonts w:ascii="仿宋" w:hAnsi="仿宋" w:eastAsia="仿宋"/>
          <w:b/>
          <w:sz w:val="30"/>
        </w:rPr>
        <w:t>（二）事件性质</w:t>
      </w:r>
    </w:p>
    <w:p>
      <w:pPr>
        <w:spacing w:line="360" w:lineRule="auto" w:before="0" w:after="0"/>
        <w:ind w:firstLine="480"/>
      </w:pPr>
      <w:r>
        <w:rPr>
          <w:rFonts w:ascii="仿宋" w:hAnsi="仿宋" w:eastAsia="仿宋"/>
          <w:sz w:val="28"/>
        </w:rPr>
        <w:t>本次事件为220kV南湖变电站220kV南湖线213开关相关故障，由于缺少详细的事件简述文件，无法全面生成本节内容。基本情况显示故障发生在电压等级为220kV的220kV南湖线213开关上，故障线路确认为220kV南湖线。经过对事件的分析，跳闸发生时220kV南湖线213开关的故障相信息缺失，同时重合闸装置在此次故障中未动作，未能实现自动重合功能。由于缺乏完整的事件简述文件，无法进一步分析故障原因、具体影响及后续处理措施，建议补充相关资料以完善事件记录和分析。</w:t>
      </w:r>
    </w:p>
    <w:p>
      <w:pPr>
        <w:spacing w:line="360" w:lineRule="auto" w:before="0" w:after="0"/>
        <w:ind w:firstLine="480"/>
      </w:pPr>
      <w:r>
        <w:rPr>
          <w:rFonts w:ascii="仿宋" w:hAnsi="仿宋" w:eastAsia="仿宋"/>
          <w:b/>
          <w:sz w:val="30"/>
        </w:rPr>
        <w:t>（三）事件暴露问题</w:t>
      </w:r>
    </w:p>
    <w:p>
      <w:pPr>
        <w:spacing w:line="360" w:lineRule="auto" w:before="0" w:after="0"/>
        <w:ind w:firstLine="480"/>
      </w:pPr>
      <w:r>
        <w:rPr>
          <w:rFonts w:ascii="仿宋" w:hAnsi="仿宋" w:eastAsia="仿宋"/>
          <w:sz w:val="28"/>
        </w:rPr>
        <w:t>该事件暴露出电力系统运行管理中存在文件管理不完善的问题，缺少关键的事件简述文件导致无法生成本节内容，这反映出文档管理和信息记录流程存在漏洞。从事件基本情况来看，220kV南湖变电站作为重要枢纽站，其220kV南湖线213开关的故障处理情况本应被详细记录，但文件缺失使得这一重要信息无法被完整保存和利用。更值得关注的是事件经过分析中提到的关键问题：跳闸发生时220kV南湖线213开关的故障相信息缺失，以及重合闸未动作的具体原因未说明，这表明故障分析过程存在不完整、不深入的情况，可能导致类似故障无法得到有效预防。整体而言，该事件暴露出电力系统在故障记录、分析和文档管理方面的不足，影响了故障经验的积累和故障处理能力的提升。</w:t>
      </w:r>
    </w:p>
    <w:p>
      <w:pPr>
        <w:spacing w:line="360" w:lineRule="auto" w:before="0" w:after="0"/>
        <w:ind w:firstLine="480"/>
      </w:pPr>
      <w:r>
        <w:rPr>
          <w:rFonts w:ascii="黑体" w:hAnsi="黑体" w:eastAsia="黑体"/>
          <w:b/>
          <w:sz w:val="32"/>
        </w:rPr>
        <w:t>五、事件防范和整改措施建议</w:t>
      </w:r>
    </w:p>
    <w:p>
      <w:pPr>
        <w:spacing w:line="360" w:lineRule="auto" w:before="0" w:after="0"/>
        <w:ind w:firstLine="480"/>
      </w:pPr>
      <w:r>
        <w:rPr>
          <w:rFonts w:ascii="仿宋" w:hAnsi="仿宋" w:eastAsia="仿宋"/>
          <w:sz w:val="28"/>
        </w:rPr>
        <w:t>针对本次220kV南湖变电站220kV南湖线213开关跳闸事件，由于缺少详细的事件简述文件导致无法全面分析并生成本节内容的情况，建议从以下几个方面进行防范和整改：首先，应完善变电站技术文档管理体系，建立标准化的事件记录模板，确保每次故障发生后都能及时、准确地记录事件经过、故障相信息、保护动作情况、重合闸状态及故障原因分析等关键信息，形成完整的事件档案；其次，加强人员培训，提高运行人员对故障信息记录的重视程度和规范性，确保在设备故障发生时能够全面收集和准确传递相关信息；第三，建立文档备份机制和应急响应预案，确保在发生技术文档缺失时能够通过其他渠道获取必要信息，避免因资料不完整影响故障分析和处理；第四，定期开展技术文档审核工作，检查文档的完整性和准确性，及时发现并补充缺失内容；第五，优化故障处理流程，明确各岗位职责，确保信息传递畅通无阻，避免因信息断层导致故障分析不全面；第六，建立跨部门协作机制，确保技术部门、运行部门和管理部门之间的信息共享，提高故障处理的效率和准确性；最后，应将此次事件纳入经验总结，完善应急预案和技术规范，防止类似情况再次发生，确保电网安全稳定运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