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 w:hAnsi="方正小标宋" w:eastAsia="方正小标宋"/>
          <w:sz w:val="44"/>
        </w:rPr>
        <w:t>故障事件分析报告</w:t>
      </w:r>
    </w:p>
    <w:p>
      <w:pPr>
        <w:spacing w:line="360" w:lineRule="auto" w:before="0" w:after="0"/>
        <w:ind w:firstLine="480"/>
      </w:pPr>
      <w:r>
        <w:rPr>
          <w:rFonts w:ascii="黑体" w:hAnsi="黑体" w:eastAsia="黑体"/>
          <w:b/>
          <w:sz w:val="32"/>
        </w:rPr>
        <w:t>一、事件简述</w:t>
      </w:r>
    </w:p>
    <w:p>
      <w:pPr>
        <w:spacing w:line="360" w:lineRule="auto" w:before="0" w:after="0"/>
        <w:ind w:firstLine="480"/>
      </w:pPr>
      <w:r>
        <w:rPr>
          <w:rFonts w:ascii="仿宋" w:hAnsi="仿宋" w:eastAsia="仿宋"/>
          <w:sz w:val="28"/>
        </w:rPr>
        <w:t>2025年7月12日14时38分，220kV青峰变电站220kV青河Ⅰ线（青峰变至河湾变，线路全长约28公里）A相发生A相单相接地故障，保护动作情况为：线路两侧光纤纵联差动保护动作，距离保护Ⅱ段动作，零序电流保护动作，随后重合闸动作，但重合于故障线路，因故障为永久性接地故障，重合不成功，断路器再次跳闸，保护故障测距显示故障点距离青峰变电站约12.5公里处。</w:t>
      </w:r>
    </w:p>
    <w:p>
      <w:pPr>
        <w:spacing w:line="360" w:lineRule="auto" w:before="0" w:after="0"/>
        <w:ind w:firstLine="480"/>
      </w:pPr>
      <w:r>
        <w:rPr>
          <w:rFonts w:ascii="黑体" w:hAnsi="黑体" w:eastAsia="黑体"/>
          <w:b/>
          <w:sz w:val="32"/>
        </w:rPr>
        <w:t>二、基本情况</w:t>
      </w:r>
    </w:p>
    <w:p>
      <w:pPr>
        <w:spacing w:line="360" w:lineRule="auto" w:before="0" w:after="0"/>
        <w:ind w:firstLine="480"/>
      </w:pPr>
      <w:r>
        <w:rPr>
          <w:rFonts w:ascii="仿宋" w:hAnsi="仿宋" w:eastAsia="仿宋"/>
          <w:b/>
          <w:sz w:val="30"/>
        </w:rPr>
        <w:t>（一）事件前运行方式</w:t>
      </w:r>
    </w:p>
    <w:p>
      <w:pPr>
        <w:spacing w:line="360" w:lineRule="auto" w:before="0" w:after="0"/>
        <w:ind w:firstLine="480"/>
      </w:pPr>
      <w:r>
        <w:rPr>
          <w:rFonts w:ascii="仿宋" w:hAnsi="仿宋" w:eastAsia="仿宋"/>
          <w:sz w:val="28"/>
        </w:rPr>
        <w:t>缺少[事件前运行方式]文件，无法生成本节内容。</w:t>
      </w:r>
    </w:p>
    <w:p>
      <w:pPr>
        <w:spacing w:line="360" w:lineRule="auto" w:before="0" w:after="0"/>
        <w:ind w:firstLine="480"/>
      </w:pPr>
      <w:r>
        <w:rPr>
          <w:rFonts w:ascii="仿宋" w:hAnsi="仿宋" w:eastAsia="仿宋"/>
          <w:b/>
          <w:sz w:val="30"/>
        </w:rPr>
        <w:t>（二）事件后运行方式</w:t>
      </w:r>
    </w:p>
    <w:p>
      <w:pPr>
        <w:spacing w:line="360" w:lineRule="auto" w:before="0" w:after="0"/>
        <w:ind w:firstLine="480"/>
      </w:pPr>
      <w:r>
        <w:rPr>
          <w:rFonts w:ascii="仿宋" w:hAnsi="仿宋" w:eastAsia="仿宋"/>
          <w:sz w:val="28"/>
        </w:rPr>
        <w:t>缺少[事件后运行方式]文件，无法生成本节内容。</w:t>
      </w:r>
    </w:p>
    <w:p>
      <w:pPr>
        <w:spacing w:line="360" w:lineRule="auto" w:before="0" w:after="0"/>
        <w:ind w:firstLine="480"/>
      </w:pPr>
      <w:r>
        <w:rPr>
          <w:rFonts w:ascii="仿宋" w:hAnsi="仿宋" w:eastAsia="仿宋"/>
          <w:b/>
          <w:sz w:val="30"/>
        </w:rPr>
        <w:t>（三）故障一次设备信息及维护情况</w:t>
      </w:r>
    </w:p>
    <w:p>
      <w:pPr>
        <w:spacing w:line="360" w:lineRule="auto" w:before="0" w:after="0"/>
        <w:ind w:firstLine="480"/>
      </w:pPr>
      <w:r>
        <w:rPr>
          <w:rFonts w:ascii="仿宋" w:hAnsi="仿宋" w:eastAsia="仿宋"/>
          <w:sz w:val="28"/>
        </w:rPr>
        <w:t>（无一次设备信息）</w:t>
      </w:r>
    </w:p>
    <w:p>
      <w:pPr>
        <w:spacing w:line="360" w:lineRule="auto" w:before="0" w:after="0"/>
        <w:ind w:firstLine="480"/>
      </w:pPr>
      <w:r>
        <w:rPr>
          <w:rFonts w:ascii="仿宋" w:hAnsi="仿宋" w:eastAsia="仿宋"/>
          <w:b/>
          <w:sz w:val="30"/>
        </w:rPr>
        <w:t>（四）故障二次设备信息及维护情况</w:t>
      </w:r>
    </w:p>
    <w:p>
      <w:pPr>
        <w:spacing w:line="360" w:lineRule="auto" w:before="0" w:after="0"/>
        <w:ind w:firstLine="480"/>
      </w:pPr>
      <w:r>
        <w:rPr>
          <w:rFonts w:ascii="仿宋" w:hAnsi="仿宋" w:eastAsia="仿宋"/>
          <w:sz w:val="28"/>
        </w:rPr>
        <w:t>（无二次设备信息）</w:t>
      </w:r>
    </w:p>
    <w:p>
      <w:pPr>
        <w:spacing w:line="360" w:lineRule="auto" w:before="0" w:after="0"/>
        <w:ind w:firstLine="480"/>
      </w:pPr>
      <w:r>
        <w:rPr>
          <w:rFonts w:ascii="仿宋" w:hAnsi="仿宋" w:eastAsia="仿宋"/>
          <w:b/>
          <w:sz w:val="30"/>
        </w:rPr>
        <w:t>（五）事件地区气象情况</w:t>
      </w:r>
    </w:p>
    <w:p>
      <w:pPr>
        <w:spacing w:line="360" w:lineRule="auto" w:before="0" w:after="0"/>
        <w:ind w:firstLine="480"/>
      </w:pPr>
      <w:r>
        <w:rPr>
          <w:rFonts w:ascii="仿宋" w:hAnsi="仿宋" w:eastAsia="仿宋"/>
          <w:sz w:val="28"/>
        </w:rPr>
        <w:t>缺少气象信息，无法生成本节内容。</w:t>
      </w:r>
    </w:p>
    <w:p>
      <w:pPr>
        <w:spacing w:line="360" w:lineRule="auto" w:before="0" w:after="0"/>
        <w:ind w:firstLine="480"/>
      </w:pPr>
      <w:r>
        <w:rPr>
          <w:rFonts w:ascii="仿宋" w:hAnsi="仿宋" w:eastAsia="仿宋"/>
          <w:b/>
          <w:sz w:val="30"/>
        </w:rPr>
        <w:t>（六）事件相关单位概况</w:t>
      </w:r>
    </w:p>
    <w:p>
      <w:pPr>
        <w:spacing w:line="360" w:lineRule="auto" w:before="0" w:after="0"/>
        <w:ind w:firstLine="480"/>
      </w:pPr>
      <w:r>
        <w:rPr>
          <w:rFonts w:ascii="仿宋" w:hAnsi="仿宋" w:eastAsia="仿宋"/>
          <w:sz w:val="28"/>
        </w:rPr>
        <w:t>220kV青峰变电供电局作为区域重要的电力枢纽，拥有完善的设施基础，包括220kV主变压器、高压开关设备、继电保护系统以及自动化监控系统等关键设施，确保了区域电网的稳定运行。在处理故障方面，该供电局建立了完善的应急响应机制，配备专业的故障抢修队伍和先进的检测设备，能够快速定位并排除各类电力故障。同时，该局采用"预防为主、防治结合"的策略，定期开展设备巡检和维护保养，利用智能监控系统实时监测电网运行状态，及时发现并处理潜在隐患。在故障处理过程中，该局注重与相关部门的协调配合，形成了高效的联动机制，确保在最短时间内恢复供电，最大限度减少对用户的影响。此外，该局还注重员工技能培训和技术创新，不断提升故障处理能力和电网管理水平，为区域经济社会发展提供可靠的电力保障。</w:t>
      </w:r>
    </w:p>
    <w:p>
      <w:pPr>
        <w:spacing w:line="360" w:lineRule="auto" w:before="0" w:after="0"/>
        <w:ind w:firstLine="480"/>
      </w:pPr>
      <w:r>
        <w:rPr>
          <w:rFonts w:ascii="黑体" w:hAnsi="黑体" w:eastAsia="黑体"/>
          <w:b/>
          <w:sz w:val="32"/>
        </w:rPr>
        <w:t>三、事件经过分析</w:t>
      </w:r>
    </w:p>
    <w:p>
      <w:pPr>
        <w:spacing w:line="360" w:lineRule="auto" w:before="0" w:after="0"/>
        <w:ind w:firstLine="480"/>
      </w:pPr>
      <w:r>
        <w:rPr>
          <w:rFonts w:ascii="仿宋" w:hAnsi="仿宋" w:eastAsia="仿宋"/>
          <w:b/>
          <w:sz w:val="30"/>
        </w:rPr>
        <w:t>（一）一次设备分析</w:t>
      </w:r>
    </w:p>
    <w:p>
      <w:pPr>
        <w:spacing w:line="360" w:lineRule="auto" w:before="0" w:after="0"/>
        <w:ind w:firstLine="480"/>
      </w:pPr>
      <w:r>
        <w:rPr>
          <w:rFonts w:ascii="仿宋" w:hAnsi="仿宋" w:eastAsia="仿宋"/>
          <w:b/>
          <w:sz w:val="28"/>
        </w:rPr>
        <w:t>1.一次设备故障情况</w:t>
      </w:r>
    </w:p>
    <w:p>
      <w:pPr>
        <w:spacing w:line="360" w:lineRule="auto" w:before="0" w:after="0"/>
        <w:ind w:firstLine="480"/>
      </w:pPr>
      <w:r>
        <w:rPr>
          <w:rFonts w:ascii="仿宋" w:hAnsi="仿宋" w:eastAsia="仿宋"/>
          <w:sz w:val="28"/>
        </w:rPr>
        <w:t>220kV青峰变电站变电站于2025年7月12日14时38分 220kV 220kV青河Ⅰ线（青峰变至河湾变，线路全长约28公里） A相发生A相单相接地故障。</w:t>
      </w:r>
    </w:p>
    <w:p>
      <w:pPr>
        <w:spacing w:line="360" w:lineRule="auto" w:before="0" w:after="0"/>
        <w:ind w:firstLine="480"/>
      </w:pPr>
      <w:r>
        <w:rPr>
          <w:rFonts w:ascii="仿宋" w:hAnsi="仿宋" w:eastAsia="仿宋"/>
          <w:b/>
          <w:sz w:val="28"/>
        </w:rPr>
        <w:t>2.故障原因分析</w:t>
      </w:r>
    </w:p>
    <w:p>
      <w:pPr>
        <w:spacing w:line="360" w:lineRule="auto" w:before="0" w:after="0"/>
        <w:ind w:firstLine="480"/>
      </w:pPr>
      <w:r>
        <w:rPr>
          <w:rFonts w:ascii="仿宋" w:hAnsi="仿宋" w:eastAsia="仿宋"/>
          <w:sz w:val="28"/>
        </w:rPr>
        <w:t>缺少文件，无法生成本节内容。</w:t>
      </w:r>
    </w:p>
    <w:p>
      <w:pPr>
        <w:spacing w:line="360" w:lineRule="auto" w:before="0" w:after="0"/>
        <w:ind w:firstLine="480"/>
      </w:pPr>
      <w:r>
        <w:rPr>
          <w:rFonts w:ascii="仿宋" w:hAnsi="仿宋" w:eastAsia="仿宋"/>
          <w:b/>
          <w:sz w:val="30"/>
        </w:rPr>
        <w:t>（二）二次设备分析</w:t>
      </w:r>
    </w:p>
    <w:p>
      <w:pPr>
        <w:spacing w:line="360" w:lineRule="auto" w:before="0" w:after="0"/>
        <w:ind w:firstLine="480"/>
      </w:pPr>
      <w:r>
        <w:rPr>
          <w:rFonts w:ascii="仿宋" w:hAnsi="仿宋" w:eastAsia="仿宋"/>
          <w:b/>
          <w:sz w:val="28"/>
        </w:rPr>
        <w:t>1.相关保护动作原理</w:t>
      </w:r>
    </w:p>
    <w:p>
      <w:pPr>
        <w:spacing w:line="360" w:lineRule="auto" w:before="0" w:after="0"/>
        <w:ind w:firstLine="480"/>
      </w:pPr>
      <w:r>
        <w:rPr>
          <w:rFonts w:ascii="仿宋" w:hAnsi="仿宋" w:eastAsia="仿宋"/>
          <w:b/>
          <w:sz w:val="28"/>
        </w:rPr>
        <w:t>2.二次系统动作时序图</w:t>
      </w:r>
    </w:p>
    <w:p>
      <w:pPr>
        <w:spacing w:line="360" w:lineRule="auto" w:before="0" w:after="0"/>
        <w:ind w:firstLine="480"/>
      </w:pPr>
      <w:r>
        <w:rPr>
          <w:rFonts w:ascii="仿宋" w:hAnsi="仿宋" w:eastAsia="仿宋"/>
          <w:sz w:val="28"/>
        </w:rPr>
        <w:t>（需上传时序图图片进行分析）</w:t>
      </w:r>
    </w:p>
    <w:p>
      <w:pPr>
        <w:spacing w:line="360" w:lineRule="auto" w:before="0" w:after="0"/>
        <w:ind w:firstLine="480"/>
      </w:pPr>
      <w:r>
        <w:rPr>
          <w:rFonts w:ascii="仿宋" w:hAnsi="仿宋" w:eastAsia="仿宋"/>
          <w:b/>
          <w:sz w:val="28"/>
        </w:rPr>
        <w:t>3.二次系统录波图分析</w:t>
      </w:r>
    </w:p>
    <w:p>
      <w:pPr>
        <w:spacing w:line="360" w:lineRule="auto" w:before="0" w:after="0"/>
        <w:ind w:firstLine="480"/>
      </w:pPr>
      <w:r>
        <w:rPr>
          <w:rFonts w:ascii="仿宋" w:hAnsi="仿宋" w:eastAsia="仿宋"/>
          <w:sz w:val="28"/>
        </w:rPr>
        <w:t>（需上传录波图图片进行分析）</w:t>
      </w:r>
    </w:p>
    <w:p>
      <w:pPr>
        <w:spacing w:line="360" w:lineRule="auto" w:before="0" w:after="0"/>
        <w:ind w:firstLine="480"/>
      </w:pPr>
      <w:r>
        <w:rPr>
          <w:rFonts w:ascii="仿宋" w:hAnsi="仿宋" w:eastAsia="仿宋"/>
          <w:b/>
          <w:sz w:val="28"/>
        </w:rPr>
        <w:t>4. 小结</w:t>
      </w:r>
    </w:p>
    <w:p>
      <w:pPr>
        <w:spacing w:line="360" w:lineRule="auto" w:before="0" w:after="0"/>
        <w:ind w:firstLine="480"/>
      </w:pPr>
      <w:r>
        <w:rPr>
          <w:rFonts w:ascii="仿宋" w:hAnsi="仿宋" w:eastAsia="仿宋"/>
          <w:sz w:val="28"/>
        </w:rPr>
        <w:t>缺少分析内容文件，无法生成本节内容。</w:t>
      </w:r>
    </w:p>
    <w:p>
      <w:pPr>
        <w:spacing w:line="360" w:lineRule="auto" w:before="0" w:after="0"/>
        <w:ind w:firstLine="480"/>
      </w:pPr>
      <w:r>
        <w:rPr>
          <w:rFonts w:ascii="黑体" w:hAnsi="黑体" w:eastAsia="黑体"/>
          <w:b/>
          <w:sz w:val="32"/>
        </w:rPr>
        <w:t>四、事件原因和性质</w:t>
      </w:r>
    </w:p>
    <w:p>
      <w:pPr>
        <w:spacing w:line="360" w:lineRule="auto" w:before="0" w:after="0"/>
        <w:ind w:firstLine="480"/>
      </w:pPr>
      <w:r>
        <w:rPr>
          <w:rFonts w:ascii="仿宋" w:hAnsi="仿宋" w:eastAsia="仿宋"/>
          <w:b/>
          <w:sz w:val="30"/>
        </w:rPr>
        <w:t>（一）事件原因</w:t>
      </w:r>
    </w:p>
    <w:p>
      <w:pPr>
        <w:spacing w:line="360" w:lineRule="auto" w:before="0" w:after="0"/>
        <w:ind w:firstLine="480"/>
      </w:pPr>
      <w:r>
        <w:rPr>
          <w:rFonts w:ascii="仿宋" w:hAnsi="仿宋" w:eastAsia="仿宋"/>
          <w:b/>
          <w:sz w:val="28"/>
        </w:rPr>
        <w:t>1.直接原因</w:t>
      </w:r>
    </w:p>
    <w:p>
      <w:pPr>
        <w:spacing w:line="360" w:lineRule="auto" w:before="0" w:after="0"/>
        <w:ind w:firstLine="480"/>
      </w:pPr>
      <w:r>
        <w:rPr>
          <w:rFonts w:ascii="仿宋" w:hAnsi="仿宋" w:eastAsia="仿宋"/>
          <w:sz w:val="28"/>
        </w:rPr>
        <w:t>2025年7月12日14时38分，220kV青峰变电站220kV青河Ⅰ线A相发生单相接地故障的直接原因是线路在距离青峰变电站约12.5公里处存在绝缘性能下降或损坏，导致A相导线与接地体之间发生电弧放电或直接接触，形成永久性接地故障。这一故障引发了线路两侧的光纤纵联差动保护、距离保护Ⅱ段和零序电流保护同时动作，断路器跳闸隔离故障。随后重合闸动作尝试恢复供电，但由于故障为永久性性质，重合后故障依然存在，导致重合不成功，断路器再次跳闸，最终未能恢复线路正常运行。</w:t>
      </w:r>
    </w:p>
    <w:p>
      <w:pPr>
        <w:spacing w:line="360" w:lineRule="auto" w:before="0" w:after="0"/>
        <w:ind w:firstLine="480"/>
      </w:pPr>
      <w:r>
        <w:rPr>
          <w:rFonts w:ascii="仿宋" w:hAnsi="仿宋" w:eastAsia="仿宋"/>
          <w:b/>
          <w:sz w:val="28"/>
        </w:rPr>
        <w:t>2.间接原因</w:t>
      </w:r>
    </w:p>
    <w:p>
      <w:pPr>
        <w:spacing w:line="360" w:lineRule="auto" w:before="0" w:after="0"/>
        <w:ind w:firstLine="480"/>
      </w:pPr>
      <w:r>
        <w:rPr>
          <w:rFonts w:ascii="仿宋" w:hAnsi="仿宋" w:eastAsia="仿宋"/>
          <w:sz w:val="28"/>
        </w:rPr>
        <w:t>2025年7月12日发生的220kV青河Ⅰ线A相单相接地故障事件，其间接原因可能涉及多个方面。首先，线路长期运行过程中可能受到环境因素影响，如夏季高温导致导线弧垂增大，或雷雨天气引起的绝缘子闪络，这些因素可能导致线路绝缘强度下降。其次，线路走廊内的树木生长可能过于接近导线，特别是在12.5公里处的故障点附近，树木与导线之间的安全距离不足，在大风或暴雨天气下可能发生放电现象。此外，线路可能存在老化问题，如绝缘子性能下降、导线连接点接触不良等，这些潜在缺陷在正常运行时可能不会显现，但在特定条件下会引发故障。最后，系统运行方式的变化或负荷波动也可能对线路运行状态产生影响，增加了故障发生的可能性。这些因素共同作用，最终导致了此次永久性接地故障的发生。</w:t>
      </w:r>
    </w:p>
    <w:p>
      <w:pPr>
        <w:spacing w:line="360" w:lineRule="auto" w:before="0" w:after="0"/>
        <w:ind w:firstLine="480"/>
      </w:pPr>
      <w:r>
        <w:rPr>
          <w:rFonts w:ascii="仿宋" w:hAnsi="仿宋" w:eastAsia="仿宋"/>
          <w:b/>
          <w:sz w:val="28"/>
        </w:rPr>
        <w:t>3.管理原因</w:t>
      </w:r>
    </w:p>
    <w:p>
      <w:pPr>
        <w:spacing w:line="360" w:lineRule="auto" w:before="0" w:after="0"/>
        <w:ind w:firstLine="480"/>
      </w:pPr>
      <w:r>
        <w:rPr>
          <w:rFonts w:ascii="仿宋" w:hAnsi="仿宋" w:eastAsia="仿宋"/>
          <w:sz w:val="28"/>
        </w:rPr>
        <w:t>2025年7月12日14时38分发生的220kV青峰变电站220kV青河Ⅰ线A相单相接地故障事件，暴露出电力系统在设备运维、故障预警及应急响应管理方面存在不足。首先，线路全长约28公里的青河Ⅰ线在距离青峰变电站约12.5公里处发生永久性接地故障，表明该线路段可能存在绝缘老化、外力破坏或树障等隐患，但日常巡检和维护工作未能及时发现并消除这些潜在风险。其次，保护装置虽然正确动作，包括光纤纵联差动保护、距离保护Ⅱ段和零序电流保护，但重合闸动作失败表明对永久性故障的预判机制不够完善，重合闸策略可能缺乏对故障性质的准确评估机制。此外，事件发生后，故障测距虽然提供了故障点位置信息，但未能及时组织抢修队伍进行处理，导致故障持续时间延长，影响了电网的稳定运行。这一事件反映出电力系统在故障预防、设备状态监测、保护配置优化以及应急抢修效率等方面仍需加强管理，提高对线路健康状况的掌控能力和对突发故障的快速响应能力。</w:t>
      </w:r>
    </w:p>
    <w:p>
      <w:pPr>
        <w:spacing w:line="360" w:lineRule="auto" w:before="0" w:after="0"/>
        <w:ind w:firstLine="480"/>
      </w:pPr>
      <w:r>
        <w:rPr>
          <w:rFonts w:ascii="仿宋" w:hAnsi="仿宋" w:eastAsia="仿宋"/>
          <w:b/>
          <w:sz w:val="30"/>
        </w:rPr>
        <w:t>（二）事件性质</w:t>
      </w:r>
    </w:p>
    <w:p>
      <w:pPr>
        <w:spacing w:line="360" w:lineRule="auto" w:before="0" w:after="0"/>
        <w:ind w:firstLine="480"/>
      </w:pPr>
      <w:r>
        <w:rPr>
          <w:rFonts w:ascii="仿宋" w:hAnsi="仿宋" w:eastAsia="仿宋"/>
          <w:sz w:val="28"/>
        </w:rPr>
        <w:t>2025年7月12日14时38分，220kV青峰变电站220kV青河Ⅰ线（青峰变至河湾变，线路全长约28公里）发生A相单相接地故障，该故障为永久性接地故障，导致线路两侧光纤纵联差动保护、距离保护Ⅱ段及零序电流保护相继动作，断路器跳闸。随后重合闸动作，但由于故障为永久性接地，重合不成功，断路器再次跳闸。根据保护故障测距结果，故障点位于距离青峰变电站约12.5公里处。整个事件表明该线路存在绝缘问题或外部因素导致的永久性接地故障，需要进一步检查故障点并进行修复才能恢复线路正常运行。</w:t>
      </w:r>
    </w:p>
    <w:p>
      <w:pPr>
        <w:spacing w:line="360" w:lineRule="auto" w:before="0" w:after="0"/>
        <w:ind w:firstLine="480"/>
      </w:pPr>
      <w:r>
        <w:rPr>
          <w:rFonts w:ascii="仿宋" w:hAnsi="仿宋" w:eastAsia="仿宋"/>
          <w:b/>
          <w:sz w:val="30"/>
        </w:rPr>
        <w:t>（三）事件暴露问题</w:t>
      </w:r>
    </w:p>
    <w:p>
      <w:pPr>
        <w:spacing w:line="360" w:lineRule="auto" w:before="0" w:after="0"/>
        <w:ind w:firstLine="480"/>
      </w:pPr>
      <w:r>
        <w:rPr>
          <w:rFonts w:ascii="仿宋" w:hAnsi="仿宋" w:eastAsia="仿宋"/>
          <w:sz w:val="28"/>
        </w:rPr>
        <w:t>此次220kV青河Ⅰ线A相单相接地故障事件暴露出多个方面的问题。首先，线路存在绝缘薄弱环节，在正常运行状态下就发生了A相单相接地故障，表明线路可能存在老化、外力破坏隐患或绝缘性能下降等问题。其次，虽然保护装置正确动作，包括光纤纵联差动保护、距离保护Ⅱ段和零序电流保护均动作，但重合闸动作不成功，说明故障为永久性接地故障，这反映出线路可能存在严重的绝缘缺陷或遭受了不可逆的损伤。故障测距显示故障点距离青峰变电站约12.5公里处，这一信息对于故障定位和抢修具有重要指导意义，但也暴露出线路巡检和维护工作可能存在疏漏，未能及时发现和处理线路隐患。此外，重合闸不成功导致断路器再次跳闸，影响了系统的供电可靠性，这提示我们需要对重合闸策略进行优化，并加强对线路的日常巡视和预防性试验，以提高线路的健康水平和抗风险能力。</w:t>
      </w:r>
    </w:p>
    <w:p>
      <w:pPr>
        <w:spacing w:line="360" w:lineRule="auto" w:before="0" w:after="0"/>
        <w:ind w:firstLine="480"/>
      </w:pPr>
      <w:r>
        <w:rPr>
          <w:rFonts w:ascii="黑体" w:hAnsi="黑体" w:eastAsia="黑体"/>
          <w:b/>
          <w:sz w:val="32"/>
        </w:rPr>
        <w:t>五、事件防范和整改措施建议</w:t>
      </w:r>
    </w:p>
    <w:p>
      <w:pPr>
        <w:spacing w:line="360" w:lineRule="auto" w:before="0" w:after="0"/>
        <w:ind w:firstLine="480"/>
      </w:pPr>
      <w:r>
        <w:rPr>
          <w:rFonts w:ascii="仿宋" w:hAnsi="仿宋" w:eastAsia="仿宋"/>
          <w:sz w:val="28"/>
        </w:rPr>
        <w:t>针对2025年7月12日220kV青峰变电站220kV青河Ⅰ线A相单相接地故障事件，应从设备维护、环境管理、保护配置优化和应急响应机制等多方面制定防范和整改措施。首先，应加强对线路的全周期管理，特别是对距离青峰变电站约12.5公里处的故障点进行重点排查，全面检查绝缘子、导线连接点等关键部件的状态，评估其绝缘性能，必要时进行更换或升级。同时，应建立更加完善的线路巡检制度，增加特殊天气条件下的巡检频次，特别是在夏季高温和雷雨季节，加强对线路走廊内树障的清理工作，确保导线与树木及其他接地体之间的安全距离符合规程要求。其次，应优化保护配置和重合闸策略，针对永久性故障的特点，研究采用自适应重合闸技术，在重合前对故障性质进行准确判断，避免不必要的重合操作，减少设备冲击。此外，应加强线路状态监测系统建设，利用在线监测技术实时掌握线路运行状态，及时发现绝缘性能下降等异常情况，实现故障预警。在管理层面，应完善应急抢修机制，建立快速响应队伍，确保故障发生后能够迅速定位、隔离并修复故障点，缩短故障持续时间。同时，应加强运行人员的专业培训，提高其对复杂故障的分析判断能力和应急处置水平，定期开展反事故演练，提升团队协作能力。最后，应建立健全设备全生命周期管理体系，从设备选型、安装、运行到退役各环节严格把关，确保设备质量，延长使用寿命，从根本上减少故障发生的可能性。通过以上措施的综合实施，可以有效防范类似事件的再次发生，提高电网的安全稳定运行水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