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方正小标宋" w:hAnsi="方正小标宋" w:eastAsia="方正小标宋"/>
          <w:b w:val="0"/>
          <w:sz w:val="44"/>
        </w:rPr>
        <w:t>电力系统故障分析报告</w:t>
      </w:r>
    </w:p>
    <w:p>
      <w:pPr>
        <w:spacing w:line="360" w:lineRule="auto" w:before="120" w:after="0"/>
        <w:ind w:firstLine="480"/>
      </w:pPr>
      <w:r>
        <w:rPr>
          <w:rFonts w:ascii="黑体" w:hAnsi="黑体" w:eastAsia="黑体"/>
          <w:b/>
          <w:sz w:val="32"/>
        </w:rPr>
        <w:t>一、故障概述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rFonts w:ascii="黑体" w:hAnsi="黑体" w:eastAsia="黑体"/>
                <w:b/>
                <w:sz w:val="24"/>
              </w:rPr>
              <w:t>事件时间</w:t>
            </w:r>
          </w:p>
        </w:tc>
        <w:tc>
          <w:tcPr>
            <w:tcW w:type="dxa" w:w="6624"/>
          </w:tcPr>
          <w:p>
            <w:r>
              <w:rPr>
                <w:rFonts w:ascii="仿宋" w:hAnsi="仿宋" w:eastAsia="仿宋"/>
                <w:b w:val="0"/>
                <w:sz w:val="24"/>
              </w:rPr>
              <w:t>2025年7月12日14时38分</w:t>
            </w:r>
          </w:p>
        </w:tc>
      </w:tr>
      <w:tr>
        <w:tc>
          <w:tcPr>
            <w:tcW w:type="dxa" w:w="2304"/>
          </w:tcPr>
          <w:p>
            <w:r>
              <w:rPr>
                <w:rFonts w:ascii="黑体" w:hAnsi="黑体" w:eastAsia="黑体"/>
                <w:b/>
                <w:sz w:val="24"/>
              </w:rPr>
              <w:t>厂站</w:t>
            </w:r>
          </w:p>
        </w:tc>
        <w:tc>
          <w:tcPr>
            <w:tcW w:type="dxa" w:w="6624"/>
          </w:tcPr>
          <w:p>
            <w:r>
              <w:rPr>
                <w:rFonts w:ascii="仿宋" w:hAnsi="仿宋" w:eastAsia="仿宋"/>
                <w:b w:val="0"/>
                <w:sz w:val="24"/>
              </w:rPr>
              <w:t>220kV青峰变电站</w:t>
            </w:r>
          </w:p>
        </w:tc>
      </w:tr>
      <w:tr>
        <w:tc>
          <w:tcPr>
            <w:tcW w:type="dxa" w:w="2304"/>
          </w:tcPr>
          <w:p>
            <w:r>
              <w:rPr>
                <w:rFonts w:ascii="黑体" w:hAnsi="黑体" w:eastAsia="黑体"/>
                <w:b/>
                <w:sz w:val="24"/>
              </w:rPr>
              <w:t>电压等级</w:t>
            </w:r>
          </w:p>
        </w:tc>
        <w:tc>
          <w:tcPr>
            <w:tcW w:type="dxa" w:w="6624"/>
          </w:tcPr>
          <w:p>
            <w:r>
              <w:rPr>
                <w:rFonts w:ascii="仿宋" w:hAnsi="仿宋" w:eastAsia="仿宋"/>
                <w:b w:val="0"/>
                <w:sz w:val="24"/>
              </w:rPr>
              <w:t>220kV</w:t>
            </w:r>
          </w:p>
        </w:tc>
      </w:tr>
      <w:tr>
        <w:tc>
          <w:tcPr>
            <w:tcW w:type="dxa" w:w="2304"/>
          </w:tcPr>
          <w:p>
            <w:r>
              <w:rPr>
                <w:rFonts w:ascii="黑体" w:hAnsi="黑体" w:eastAsia="黑体"/>
                <w:b/>
                <w:sz w:val="24"/>
              </w:rPr>
              <w:t>故障设备</w:t>
            </w:r>
          </w:p>
        </w:tc>
        <w:tc>
          <w:tcPr>
            <w:tcW w:type="dxa" w:w="6624"/>
          </w:tcPr>
          <w:p>
            <w:r>
              <w:rPr>
                <w:rFonts w:ascii="仿宋" w:hAnsi="仿宋" w:eastAsia="仿宋"/>
                <w:b w:val="0"/>
                <w:sz w:val="24"/>
              </w:rPr>
              <w:t>青河Ⅰ线</w:t>
            </w:r>
          </w:p>
        </w:tc>
      </w:tr>
      <w:tr>
        <w:tc>
          <w:tcPr>
            <w:tcW w:type="dxa" w:w="2304"/>
          </w:tcPr>
          <w:p>
            <w:r>
              <w:rPr>
                <w:rFonts w:ascii="黑体" w:hAnsi="黑体" w:eastAsia="黑体"/>
                <w:b/>
                <w:sz w:val="24"/>
              </w:rPr>
              <w:t>故障线路</w:t>
            </w:r>
          </w:p>
        </w:tc>
        <w:tc>
          <w:tcPr>
            <w:tcW w:type="dxa" w:w="6624"/>
          </w:tcPr>
          <w:p>
            <w:r>
              <w:rPr>
                <w:rFonts w:ascii="仿宋" w:hAnsi="仿宋" w:eastAsia="仿宋"/>
                <w:b w:val="0"/>
                <w:sz w:val="24"/>
              </w:rPr>
              <w:t>220kV青河Ⅰ线（青峰变至河湾变，线路全长约28公里）</w:t>
            </w:r>
          </w:p>
        </w:tc>
      </w:tr>
      <w:tr>
        <w:tc>
          <w:tcPr>
            <w:tcW w:type="dxa" w:w="2304"/>
          </w:tcPr>
          <w:p>
            <w:r>
              <w:rPr>
                <w:rFonts w:ascii="黑体" w:hAnsi="黑体" w:eastAsia="黑体"/>
                <w:b/>
                <w:sz w:val="24"/>
              </w:rPr>
              <w:t>故障相</w:t>
            </w:r>
          </w:p>
        </w:tc>
        <w:tc>
          <w:tcPr>
            <w:tcW w:type="dxa" w:w="6624"/>
          </w:tcPr>
          <w:p>
            <w:r>
              <w:rPr>
                <w:rFonts w:ascii="仿宋" w:hAnsi="仿宋" w:eastAsia="仿宋"/>
                <w:b w:val="0"/>
                <w:sz w:val="24"/>
              </w:rPr>
              <w:t>A相</w:t>
            </w:r>
          </w:p>
        </w:tc>
      </w:tr>
      <w:tr>
        <w:tc>
          <w:tcPr>
            <w:tcW w:type="dxa" w:w="2304"/>
          </w:tcPr>
          <w:p>
            <w:r>
              <w:rPr>
                <w:rFonts w:ascii="黑体" w:hAnsi="黑体" w:eastAsia="黑体"/>
                <w:b/>
                <w:sz w:val="24"/>
              </w:rPr>
              <w:t>故障类型</w:t>
            </w:r>
          </w:p>
        </w:tc>
        <w:tc>
          <w:tcPr>
            <w:tcW w:type="dxa" w:w="6624"/>
          </w:tcPr>
          <w:p>
            <w:r>
              <w:rPr>
                <w:rFonts w:ascii="仿宋" w:hAnsi="仿宋" w:eastAsia="仿宋"/>
                <w:b w:val="0"/>
                <w:sz w:val="24"/>
              </w:rPr>
              <w:t>单相接地故障</w:t>
            </w:r>
          </w:p>
        </w:tc>
      </w:tr>
      <w:tr>
        <w:tc>
          <w:tcPr>
            <w:tcW w:type="dxa" w:w="2304"/>
          </w:tcPr>
          <w:p>
            <w:r>
              <w:rPr>
                <w:rFonts w:ascii="黑体" w:hAnsi="黑体" w:eastAsia="黑体"/>
                <w:b/>
                <w:sz w:val="24"/>
              </w:rPr>
              <w:t>跳闸情况</w:t>
            </w:r>
          </w:p>
        </w:tc>
        <w:tc>
          <w:tcPr>
            <w:tcW w:type="dxa" w:w="6624"/>
          </w:tcPr>
          <w:p>
            <w:r>
              <w:rPr>
                <w:rFonts w:ascii="仿宋" w:hAnsi="仿宋" w:eastAsia="仿宋"/>
                <w:b w:val="0"/>
                <w:sz w:val="24"/>
              </w:rPr>
              <w:t>线路两侧断路器均跳闸，重合闸动作一次，重合不成功后再次跳闸</w:t>
            </w:r>
          </w:p>
        </w:tc>
      </w:tr>
      <w:tr>
        <w:tc>
          <w:tcPr>
            <w:tcW w:type="dxa" w:w="2304"/>
          </w:tcPr>
          <w:p>
            <w:r>
              <w:rPr>
                <w:rFonts w:ascii="黑体" w:hAnsi="黑体" w:eastAsia="黑体"/>
                <w:b/>
                <w:sz w:val="24"/>
              </w:rPr>
              <w:t>重合闸情况</w:t>
            </w:r>
          </w:p>
        </w:tc>
        <w:tc>
          <w:tcPr>
            <w:tcW w:type="dxa" w:w="6624"/>
          </w:tcPr>
          <w:p>
            <w:r>
              <w:rPr>
                <w:rFonts w:ascii="仿宋" w:hAnsi="仿宋" w:eastAsia="仿宋"/>
                <w:b w:val="0"/>
                <w:sz w:val="24"/>
              </w:rPr>
              <w:t>重合闸动作后重合于故障线路，因故障为永久性接地故障，重合不成功，断路器再次跳闸</w:t>
            </w:r>
          </w:p>
        </w:tc>
      </w:tr>
    </w:tbl>
    <w:p>
      <w:pPr>
        <w:spacing w:line="360" w:lineRule="auto" w:before="120" w:after="0"/>
        <w:ind w:firstLine="480"/>
      </w:pPr>
      <w:r>
        <w:rPr>
          <w:rFonts w:ascii="黑体" w:hAnsi="黑体" w:eastAsia="黑体"/>
          <w:b/>
          <w:sz w:val="32"/>
        </w:rPr>
        <w:t>二、故障详细信息</w:t>
      </w:r>
    </w:p>
    <w:p>
      <w:pPr>
        <w:spacing w:line="360" w:lineRule="auto" w:before="120" w:after="0"/>
        <w:ind w:firstLine="480"/>
      </w:pPr>
      <w:r>
        <w:rPr>
          <w:rFonts w:ascii="黑体" w:hAnsi="黑体" w:eastAsia="黑体"/>
          <w:b/>
          <w:sz w:val="30"/>
        </w:rPr>
        <w:t>（一）故障经过</w:t>
      </w:r>
    </w:p>
    <w:p>
      <w:pPr>
        <w:spacing w:line="360" w:lineRule="auto" w:before="0" w:after="0"/>
        <w:ind w:firstLine="480"/>
      </w:pPr>
      <w:r>
        <w:rPr>
          <w:rFonts w:ascii="仿宋" w:hAnsi="仿宋" w:eastAsia="仿宋"/>
          <w:b w:val="0"/>
          <w:sz w:val="28"/>
        </w:rPr>
        <w:t>220kV青峰变电站 220kV青河Ⅰ线（青峰变至河湾变，线路全长约28公里） 于 2025年7月12日14时38分 发生 单相接地故障，故障相为 A相。跳闸情况：线路两侧断路器均跳闸，重合闸动作一次，重合不成功后再次跳闸。重合闸动作情况：重合闸动作后重合于故障线路，因故障为永久性接地故障，重合不成功，断路器再次跳闸。</w:t>
      </w:r>
    </w:p>
    <w:p>
      <w:pPr>
        <w:spacing w:line="360" w:lineRule="auto" w:before="120" w:after="0"/>
        <w:ind w:firstLine="480"/>
      </w:pPr>
      <w:r>
        <w:rPr>
          <w:rFonts w:ascii="黑体" w:hAnsi="黑体" w:eastAsia="黑体"/>
          <w:b/>
          <w:sz w:val="30"/>
        </w:rPr>
        <w:t>（二）保护动作情况</w:t>
      </w:r>
    </w:p>
    <w:p>
      <w:pPr>
        <w:spacing w:line="360" w:lineRule="auto" w:before="0" w:after="0"/>
        <w:ind w:firstLine="480"/>
      </w:pPr>
      <w:r>
        <w:rPr>
          <w:rFonts w:ascii="仿宋" w:hAnsi="仿宋" w:eastAsia="仿宋"/>
          <w:b w:val="0"/>
          <w:sz w:val="28"/>
        </w:rPr>
        <w:t>线路两侧光纤纵联差动保护动作，距离保护Ⅱ段动作，零序电流保护动作</w:t>
      </w:r>
    </w:p>
    <w:p>
      <w:pPr>
        <w:spacing w:line="360" w:lineRule="auto" w:before="120" w:after="0"/>
        <w:ind w:firstLine="480"/>
      </w:pPr>
      <w:r>
        <w:rPr>
          <w:rFonts w:ascii="黑体" w:hAnsi="黑体" w:eastAsia="黑体"/>
          <w:b/>
          <w:sz w:val="30"/>
        </w:rPr>
        <w:t>（三）保护故障测距</w:t>
      </w:r>
    </w:p>
    <w:p>
      <w:pPr>
        <w:spacing w:line="360" w:lineRule="auto" w:before="0" w:after="0"/>
        <w:ind w:firstLine="480"/>
      </w:pPr>
      <w:r>
        <w:rPr>
          <w:rFonts w:ascii="仿宋" w:hAnsi="仿宋" w:eastAsia="仿宋"/>
          <w:b w:val="0"/>
          <w:sz w:val="28"/>
        </w:rPr>
        <w:t>故障点距离青峰变电站约12.5公里处</w:t>
      </w:r>
    </w:p>
    <w:p>
      <w:pPr>
        <w:spacing w:line="360" w:lineRule="auto" w:before="120" w:after="0"/>
        <w:ind w:firstLine="480"/>
      </w:pPr>
      <w:r>
        <w:rPr>
          <w:rFonts w:ascii="黑体" w:hAnsi="黑体" w:eastAsia="黑体"/>
          <w:b/>
          <w:sz w:val="32"/>
        </w:rPr>
        <w:t>三、故障设备情况</w:t>
      </w:r>
    </w:p>
    <w:p>
      <w:pPr>
        <w:spacing w:line="360" w:lineRule="auto" w:before="120" w:after="0"/>
        <w:ind w:firstLine="480"/>
      </w:pPr>
      <w:r>
        <w:rPr>
          <w:rFonts w:ascii="黑体" w:hAnsi="黑体" w:eastAsia="黑体"/>
          <w:b/>
          <w:sz w:val="30"/>
        </w:rPr>
        <w:t>（一）一次设备情况</w:t>
      </w:r>
    </w:p>
    <w:p>
      <w:pPr>
        <w:spacing w:line="360" w:lineRule="auto" w:before="0" w:after="0"/>
        <w:ind w:firstLine="480"/>
      </w:pPr>
      <w:r>
        <w:rPr>
          <w:rFonts w:ascii="仿宋" w:hAnsi="仿宋" w:eastAsia="仿宋"/>
          <w:b w:val="0"/>
          <w:sz w:val="28"/>
        </w:rPr>
        <w:t>线路断路器、隔离开关本体无异常，未发现放电烧伤痕迹。线路侧避雷器动作计数正常。导线及绝缘子检查发现第58号杆塔附近A相导线有放电烧伤痕迹</w:t>
      </w:r>
    </w:p>
    <w:p>
      <w:pPr>
        <w:spacing w:line="360" w:lineRule="auto" w:before="120" w:after="0"/>
        <w:ind w:firstLine="480"/>
      </w:pPr>
      <w:r>
        <w:rPr>
          <w:rFonts w:ascii="黑体" w:hAnsi="黑体" w:eastAsia="黑体"/>
          <w:b/>
          <w:sz w:val="30"/>
        </w:rPr>
        <w:t>（二）二次设备情况</w:t>
      </w:r>
    </w:p>
    <w:p>
      <w:pPr>
        <w:spacing w:line="360" w:lineRule="auto" w:before="0" w:after="0"/>
        <w:ind w:firstLine="480"/>
      </w:pPr>
      <w:r>
        <w:rPr>
          <w:rFonts w:ascii="仿宋" w:hAnsi="仿宋" w:eastAsia="仿宋"/>
          <w:b w:val="0"/>
          <w:sz w:val="28"/>
        </w:rPr>
        <w:t>继电保护装置录波正常，故障录波图显示A相电流突增、零序电流明显增大，符合单相接地故障特征。保护定值核对无误，装置动作行为正确，二次回路绝缘良好</w:t>
      </w:r>
    </w:p>
    <w:p>
      <w:pPr>
        <w:spacing w:line="360" w:lineRule="auto" w:before="120" w:after="0"/>
        <w:ind w:firstLine="480"/>
      </w:pPr>
      <w:r>
        <w:rPr>
          <w:rFonts w:ascii="黑体" w:hAnsi="黑体" w:eastAsia="黑体"/>
          <w:b/>
          <w:sz w:val="32"/>
        </w:rPr>
        <w:t>四、事件地区气象情况</w:t>
      </w:r>
    </w:p>
    <w:p>
      <w:pPr>
        <w:spacing w:line="360" w:lineRule="auto" w:before="0" w:after="0"/>
        <w:ind w:firstLine="480"/>
      </w:pPr>
      <w:r>
        <w:rPr>
          <w:rFonts w:ascii="仿宋" w:hAnsi="仿宋" w:eastAsia="仿宋"/>
          <w:b w:val="0"/>
          <w:sz w:val="28"/>
        </w:rPr>
        <w:t>强雷雨天气，伴有大风，局地雷暴，瞬时风力达7级</w:t>
      </w:r>
    </w:p>
    <w:p>
      <w:pPr>
        <w:spacing w:line="360" w:lineRule="auto" w:before="120" w:after="0"/>
        <w:ind w:firstLine="480"/>
      </w:pPr>
      <w:r>
        <w:rPr>
          <w:rFonts w:ascii="黑体" w:hAnsi="黑体" w:eastAsia="黑体"/>
          <w:b/>
          <w:sz w:val="32"/>
        </w:rPr>
        <w:t>五、事件相关单位概况</w:t>
      </w:r>
    </w:p>
    <w:p>
      <w:pPr>
        <w:spacing w:line="360" w:lineRule="auto" w:before="0" w:after="0"/>
        <w:ind w:firstLine="480"/>
      </w:pPr>
      <w:r>
        <w:rPr>
          <w:rFonts w:ascii="仿宋" w:hAnsi="仿宋" w:eastAsia="仿宋"/>
          <w:b w:val="0"/>
          <w:sz w:val="28"/>
        </w:rPr>
        <w:t>青峰变电站（220kV，主变压器2台）和河湾变电站（220kV）。运维单位为××供电公司变电运维中心，检修单位为××供电公司输电运检中心</w:t>
      </w:r>
    </w:p>
    <w:p>
      <w:pPr>
        <w:spacing w:line="360" w:lineRule="auto" w:before="120" w:after="0"/>
        <w:ind w:firstLine="480"/>
      </w:pPr>
      <w:r>
        <w:rPr>
          <w:rFonts w:ascii="黑体" w:hAnsi="黑体" w:eastAsia="黑体"/>
          <w:b/>
          <w:sz w:val="32"/>
        </w:rPr>
        <w:t>六、结论与建议</w:t>
      </w:r>
    </w:p>
    <w:p>
      <w:pPr>
        <w:spacing w:line="360" w:lineRule="auto" w:before="0" w:after="0"/>
        <w:ind w:firstLine="480"/>
      </w:pPr>
      <w:r>
        <w:rPr>
          <w:rFonts w:ascii="仿宋" w:hAnsi="仿宋" w:eastAsia="仿宋"/>
          <w:b w:val="0"/>
          <w:sz w:val="28"/>
        </w:rPr>
        <w:t>本次 220kV青峰变电站 220kV青河Ⅰ线（青峰变至河湾变，线路全长约28公里） 于 2025年7月12日14时38分 发生 单相接地故障，故障相为 A相，保护动作情况：线路两侧光纤纵联差动保护动作，距离保护Ⅱ段动作，零序电流保护动作，故障点距离青峰变电站约12.5公里处。经分析，故障原因与设备运行状态、外部环境等因素相关。建议加强设备巡视与在线监测，落实防范措施，防止同类故障再次发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