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12E4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目录</w:t>
      </w:r>
    </w:p>
    <w:p w14:paraId="0BE286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术语词典</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21372F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第一章  总则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6</w:t>
      </w:r>
    </w:p>
    <w:p w14:paraId="7382DB4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第二章  工作内容</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6</w:t>
      </w:r>
    </w:p>
    <w:p w14:paraId="7C1687E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第三章  行贿供应商处理及处理解除</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10</w:t>
      </w:r>
    </w:p>
    <w:p w14:paraId="6E3B26B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第四章  涉嫌行贿供应商处理及处理解除</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11</w:t>
      </w:r>
    </w:p>
    <w:p w14:paraId="71C45B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第五章  投诉和异议处理</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12</w:t>
      </w:r>
    </w:p>
    <w:p w14:paraId="45421DB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第六章  罚则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12</w:t>
      </w:r>
    </w:p>
    <w:p w14:paraId="285FF13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第七章  附则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13</w:t>
      </w:r>
    </w:p>
    <w:p w14:paraId="4F79205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 供应链合规、效能监督内容</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14</w:t>
      </w:r>
    </w:p>
    <w:p w14:paraId="3C2898E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附录B 供应链监督权限清单</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17</w:t>
      </w:r>
    </w:p>
    <w:p w14:paraId="728B6D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附录C 供应链监督风险管理业务流程图</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19</w:t>
      </w:r>
    </w:p>
    <w:p w14:paraId="386DCC3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附录D 供应商行贿情形</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20</w:t>
      </w:r>
    </w:p>
    <w:p w14:paraId="75565DC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 行贿供应商市场禁入启动程序</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21</w:t>
      </w:r>
    </w:p>
    <w:p w14:paraId="1CC4DE4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附录E-1行贿供应商市场禁入启动程序（供应商行贿信息获取来源为三级单位）</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23</w:t>
      </w:r>
    </w:p>
    <w:p w14:paraId="7AB1ECA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附录E-2行贿供应商市场禁入启动程序（供应商行贿信息获取来源为公司）</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24</w:t>
      </w:r>
    </w:p>
    <w:p w14:paraId="54C2999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 涉嫌行贿供应商不接受投标处理启动程序</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25</w:t>
      </w:r>
    </w:p>
    <w:p w14:paraId="15B6D9C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附录F-1涉嫌行贿供应商不接受投标处理启动程序（供应商涉嫌行贿信息获取来源为三级单位）</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26</w:t>
      </w:r>
    </w:p>
    <w:p w14:paraId="08DA16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附录F-2涉嫌行贿供应商不接受投标处理启动程序（供应商涉嫌行贿信息获取来源为公司）</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27</w:t>
      </w:r>
    </w:p>
    <w:p w14:paraId="00A161B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附录G 投诉和异议处理工作指引</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28</w:t>
      </w:r>
    </w:p>
    <w:p w14:paraId="217BEB4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附录H投诉书（模板）</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35</w:t>
      </w:r>
    </w:p>
    <w:p w14:paraId="28B410F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附录I异议书（模板）</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36</w:t>
      </w:r>
    </w:p>
    <w:p w14:paraId="46DE5D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附录J 投诉和异议台账</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37</w:t>
      </w:r>
    </w:p>
    <w:p w14:paraId="44F1020F">
      <w:pPr>
        <w:spacing w:beforeLines="0" w:afterLines="0"/>
        <w:jc w:val="left"/>
        <w:rPr>
          <w:rFonts w:hint="eastAsia" w:ascii="微软雅黑" w:hAnsi="微软雅黑" w:eastAsia="微软雅黑"/>
          <w:sz w:val="24"/>
          <w:szCs w:val="24"/>
          <w:lang w:val="zh-CN"/>
        </w:rPr>
      </w:pPr>
      <w:bookmarkStart w:id="0" w:name="_GoBack"/>
      <w:bookmarkEnd w:id="0"/>
    </w:p>
    <w:p w14:paraId="00B6185F">
      <w:pPr>
        <w:spacing w:beforeLines="0" w:afterLines="0"/>
        <w:jc w:val="left"/>
        <w:rPr>
          <w:rFonts w:hint="eastAsia" w:ascii="微软雅黑" w:hAnsi="微软雅黑" w:eastAsia="微软雅黑"/>
          <w:sz w:val="24"/>
          <w:szCs w:val="24"/>
          <w:lang w:val="zh-CN"/>
        </w:rPr>
      </w:pPr>
    </w:p>
    <w:p w14:paraId="6B9BC80B">
      <w:pPr>
        <w:spacing w:beforeLines="0" w:afterLines="0"/>
        <w:jc w:val="center"/>
        <w:rPr>
          <w:rFonts w:hint="eastAsia" w:ascii="微软雅黑" w:hAnsi="微软雅黑" w:eastAsia="微软雅黑"/>
          <w:sz w:val="24"/>
          <w:szCs w:val="24"/>
          <w:lang w:val="zh-CN"/>
        </w:rPr>
      </w:pPr>
      <w:r>
        <w:rPr>
          <w:rFonts w:hint="eastAsia" w:ascii="微软雅黑" w:hAnsi="微软雅黑" w:eastAsia="微软雅黑"/>
          <w:sz w:val="24"/>
          <w:szCs w:val="24"/>
          <w:lang w:val="zh-CN"/>
        </w:rPr>
        <w:t>供应链监督管理细则</w:t>
      </w:r>
    </w:p>
    <w:p w14:paraId="239DE9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w:t>
      </w:r>
    </w:p>
    <w:p w14:paraId="7E69232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第一章  总则</w:t>
      </w:r>
    </w:p>
    <w:p w14:paraId="4371599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为了构建一体推进</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不敢腐、不能腐、不想腐</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体制机制，落实</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管业务必须管监督</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原则，建立健全公司供应链监督机制，发挥职能监督作用，保障供应链业务规范高效，实现综合效益最优，根据《中国南方电网有限责任公司供应链监督管理办法》及公司有关规定，结合实际情况，制定本细则。</w:t>
      </w:r>
    </w:p>
    <w:p w14:paraId="423A01E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本细则适用于公司及直属各供电局、中心机构的需求计划管理、采购与供应商管理，以及电力物资的合约与品控管理、仓储与配送管理、逆向物流管理等供应链业务监督工作。公司直属新兴业务企业、各供电局职工持股改革后企业可结合实际情况制定承接制度。</w:t>
      </w:r>
    </w:p>
    <w:p w14:paraId="19F98E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第二章  工作内容</w:t>
      </w:r>
    </w:p>
    <w:p w14:paraId="7C06FD1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第一节 监督原则</w:t>
      </w:r>
    </w:p>
    <w:p w14:paraId="289E0E8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第三条  供应链监督应当坚持</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管业务必须管监督</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原则，做到事前防范、事中控制、事后反思全周期管理闭环，监督与改进相结合。相关检查、审查、处理工作严格按监督工作原则开展：</w:t>
      </w:r>
    </w:p>
    <w:p w14:paraId="739AE1D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（一）遵循</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四不放过</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原则（原因未查清不放过、责任人员未处理不放过、整改措施未落实不放过、有关人员未受到教育不放过），坚持分级负责、集体决策，做到事实清楚、依据充分、手续完备、程序合规、处置恰当。</w:t>
      </w:r>
    </w:p>
    <w:p w14:paraId="7CFADA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（二）监督检查、审查、审批职责三分离，监督审查与监督处理职责相分离。</w:t>
      </w:r>
    </w:p>
    <w:p w14:paraId="0B41458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（三）及时报告监督事项，如实反映情况，不得迟报、虚报、瞒报、漏报和伪造、篡改相关内容，客观分析问题，提出处理意见及建议。</w:t>
      </w:r>
    </w:p>
    <w:p w14:paraId="07B151E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监督检查过程，应当成立由两人或以上人数组成的监督小组，依规依纪依法、安全文明开展工作。对投诉和异议问题、潜在风险、监督报告等资料进行全面分析研判，集中讨论，形成统一处理意见及建议，对重大事项、争议较大的问题应当及时报告本单位分管领导，批准后报上级供应链管理部门。</w:t>
      </w:r>
    </w:p>
    <w:p w14:paraId="2B898C4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（五）监督问题的处理按照</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谁管理、谁处理</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原则，由相关专业领域组织处理并反馈。</w:t>
      </w:r>
    </w:p>
    <w:p w14:paraId="032343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（六）发现的供应链领域问题应当及时登记、辨识风险、评估等级，经网省公司供应链管理部门审批后纳入供应链风险基准库管理。</w:t>
      </w:r>
    </w:p>
    <w:p w14:paraId="77726D4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第二节 监督内容</w:t>
      </w:r>
    </w:p>
    <w:p w14:paraId="5D00F7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第四条  供应链监督工作包括合规监督和效能监督。在开展供应链业务的同时，应当同步开展合规监督和效能监督，做到监督与业务相融合。</w:t>
      </w:r>
    </w:p>
    <w:p w14:paraId="1165BDE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第五条  合规监督主要检查国家法律法规、行业标准、公司管理制度、作业标准等执行情况。内容包括需求计划管理、采购管理、合约与品控管理、仓储与配送管理、逆向物流管理共5个方面，详见附录A。</w:t>
      </w:r>
    </w:p>
    <w:p w14:paraId="22A818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第六条  效能监督主要围绕公司经营管理目标，对供应链业务产生的效率、效果、效益及其管控能力等开展监督，提出建议，督促改进。内容包括计划目标要求、业务管控指标、经济效益情况共3个方面内容，详见附录A。</w:t>
      </w:r>
    </w:p>
    <w:p w14:paraId="6592F71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第三节 监督方式</w:t>
      </w:r>
    </w:p>
    <w:p w14:paraId="779044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第七条  供应链监督以常态化监督为主，专项监督、飞行监督为辅，实行全周期闭环管理。根据业务需要，各级供应链管理部门可委派供应链监督专家开展监督工作。</w:t>
      </w:r>
    </w:p>
    <w:p w14:paraId="0126DD5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第八条  供应链监督计划按照</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两级集中</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原则管理，由公司供应链管理部编制年度监督计划并组织实施。</w:t>
      </w:r>
    </w:p>
    <w:p w14:paraId="7CD3024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第四节 监督权限</w:t>
      </w:r>
    </w:p>
    <w:p w14:paraId="77B0854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第九条  供应链管理部门履行监督职责时，可采用询问（如书面、电话）、谈话等方式向相关人员了解情况，或要求其就有关事项作出说明，但不得询问与监督业务无关事项。</w:t>
      </w:r>
    </w:p>
    <w:p w14:paraId="5A8B0DF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第十条  因工作需要，监督人员可查阅、收集、调取、复制、封存与供应链业务相关的物品、文件、数据、音视频等资料（见附录B），有关单位和个人应当如实提供，不得伪造、隐匿或者毁灭。 </w:t>
      </w:r>
    </w:p>
    <w:p w14:paraId="45EBFDA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第十一条  被封存的物品、文件、数据等资料应当设专人、专用场所、专用台账管理，不得毁损或者用于其他目的。监督工作完成后或与监督事项无关的资料，应当在三个工作日内返还。</w:t>
      </w:r>
    </w:p>
    <w:p w14:paraId="75EF377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第十二条  供应链监督实行分级管理。因工作需要，上级供应链管理部门可以直接调查处理所属各级单位的供应链问题事项。</w:t>
      </w:r>
    </w:p>
    <w:p w14:paraId="753775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第五节 风险提示及整改处理</w:t>
      </w:r>
    </w:p>
    <w:p w14:paraId="017575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第十三条  公司供应链监督工作小组由供应链管理部各内设科室负责人组成，三级单位供应链监督工作小组由供应链管理各业务骨干组成。</w:t>
      </w:r>
    </w:p>
    <w:p w14:paraId="114ABF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第十四条  各级供应链管理部门应建立风险识别预警机制，及时梳理分析供应链业务风险，对风险发生可能性、影响程度、潜在后果等分析研判，经供应链监督工作小组审核，及时发布风险提示（见附录C），提出整改意见和建议，并对整改实施全过程管控，对于经整改后风险发生可能性较小或影响程度或潜在后果较低的情况，经验收通过后，实行风险降级处理。三级单位供应链管理部门发出风险提示后应报公司供应链部备案。</w:t>
      </w:r>
    </w:p>
    <w:p w14:paraId="0057E2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第十五条  有关单位、部门应当制定风险防控预案，及时应对处置。风险管控结果纳入公司供应链专项监督检查范围。</w:t>
      </w:r>
    </w:p>
    <w:p w14:paraId="75E9C06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第十六条  供应链风险分高、中、低三个等级，网公司对高、中风险实施一级管控，公司承接网公司的管控要求，并对低风险实施二级管控。</w:t>
      </w:r>
    </w:p>
    <w:p w14:paraId="1D7A964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第十七条  供应链风险实行动态管理，公司供应链管理部定期对供应链风险基准库开展再评估，调整风险等级、类型、状态等信息，并定期向网公司供应链管理部报备二级管控情况。 </w:t>
      </w:r>
    </w:p>
    <w:p w14:paraId="53D119E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第三章  行贿供应商处理及处理解除</w:t>
      </w:r>
    </w:p>
    <w:p w14:paraId="2746A4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第一节 市场禁入处理建议提出</w:t>
      </w:r>
    </w:p>
    <w:p w14:paraId="2E7E9D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第十八条  各级供应链管理部门根据纪检监督部门提供的调查情况及处理意见，严格按照网公司的相关规定对行贿供应商提出市场禁入建议，行贿具体情形详见附录D。</w:t>
      </w:r>
    </w:p>
    <w:p w14:paraId="685425E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第十九条  对行贿供应商市场禁入处罚的流程详见附录E。</w:t>
      </w:r>
    </w:p>
    <w:p w14:paraId="3CABA2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第二十条  对于行贿行为情节轻微，且能及时整改，知错认错悔错改错态度较好的供应商，提出的市场禁入建议期限适当缩短，对于行贿行为性质恶劣、影响严重的，提出的市场禁入适当增加。缩短或增加的期限不宜多于应禁入时间的三分之一。</w:t>
      </w:r>
    </w:p>
    <w:p w14:paraId="69BFF3C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第二十一条  对于供应商市场禁入期内，如确因业务需求需与被处罚供应商发生经济活动往来的，三级单位的相关需求申请由专业部门提出，上报公司专业管理部门审核同意后，由公司招标领导小组会议审核，网公司供应链管理部门批准后方可开展。公司的相关需求申请经本单位招标领导小组会议审核，网公司供应链管理部门批准后方可开展。</w:t>
      </w:r>
    </w:p>
    <w:p w14:paraId="607DCB5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第二十二条  公司直属各单位、控股公司、职工持股改革后企业须严格执行网公司关于供应商市场禁入的文件要求。</w:t>
      </w:r>
    </w:p>
    <w:p w14:paraId="596B4CC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第二节 验收解除申请</w:t>
      </w:r>
    </w:p>
    <w:p w14:paraId="00872C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第二十三条  公司供应链管理部收到网公司转办的供应商解除申请后，负责组织验收，并提出解除处理意见，报网公司供应链管理部。</w:t>
      </w:r>
    </w:p>
    <w:p w14:paraId="025AC96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第四章  涉嫌行贿供应商处理及处理解除</w:t>
      </w:r>
    </w:p>
    <w:p w14:paraId="5E4D3FC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第一节 不接受投标处理期限建议提出</w:t>
      </w:r>
    </w:p>
    <w:p w14:paraId="4684DE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第二十四条  各级供应链管理部门根据纪检监督部门提供的调查情况及处理意见，对涉嫌行贿供应商可提出不接受投标处理的建议，处理周期一般为半年，可适当减少或延长，但实际处理周期不得少于4个月，也不得多于9个月。</w:t>
      </w:r>
    </w:p>
    <w:p w14:paraId="5371628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第二十五条  涉嫌行贿供应商不接受投标处理启动程详见附录F。</w:t>
      </w:r>
    </w:p>
    <w:p w14:paraId="20F378F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第二十六条  公司直属各单位、控股公司、职工持股改革后企业须严格执行网公司关于供应商涉嫌行贿的文件要求。</w:t>
      </w:r>
    </w:p>
    <w:p w14:paraId="6740FD5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第二节 解除建议提出</w:t>
      </w:r>
    </w:p>
    <w:p w14:paraId="04086CB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第二十七条  供应商涉嫌行贿行为查办完毕、相关案件销案，或涉嫌行贿供应商处理期满前1个月，公司供应链管理部征得监督部同意后，向网公司供应链管理部门提出解除处理意见。</w:t>
      </w:r>
    </w:p>
    <w:p w14:paraId="29F3FEB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第五章  投诉和异议处理</w:t>
      </w:r>
    </w:p>
    <w:p w14:paraId="71C9552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第二十八条  公司供应链管理部负责受理本单位及网公司转办的供应链业务投诉和异议，组织同级或下级相关部门、单位调查、核实以及回复。任何人员收到投诉和异议，应当统一转交，不得隐瞒不交，不得擅自处置，不得扩大知情范围。</w:t>
      </w:r>
    </w:p>
    <w:p w14:paraId="041A0E6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第二十九条  对投诉和异议的回复应坚持集体审议，严格按照《投诉和异议处理工作指引》（附录G）开展。</w:t>
      </w:r>
    </w:p>
    <w:p w14:paraId="47E231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第三十条  公司供应链部按要求建立投诉和异议事项台账（详见附录J），实施销号式管理。</w:t>
      </w:r>
    </w:p>
    <w:p w14:paraId="700C7C8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第三十一条  公司供应链管理部在年度综合查评中对三级单位供应链管理部门配合开展投诉和异议核查的质量进行评价。</w:t>
      </w:r>
    </w:p>
    <w:p w14:paraId="0B8901E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第三十二条  对不属于供应链业务的投诉和异议，转交相关单位或部门处理。</w:t>
      </w:r>
    </w:p>
    <w:p w14:paraId="323439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第六章  罚则</w:t>
      </w:r>
    </w:p>
    <w:p w14:paraId="2FCCE99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第三十三条  供应链监督活动参与人员违反本细则规定的，对相关责任单位、人员给予通报批评；涉及滥用职权、徇私舞弊、玩忽职守、泄露秘密等情形的，依据公司有关问责制度和员工处分制度处理；涉嫌违纪违法的，向纪检监督机构移交相关线索。</w:t>
      </w:r>
    </w:p>
    <w:p w14:paraId="1DF1F9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第三十四条  供应链监督发现问题，相关单位、个人应当限期改正。情节严重拒不改正的，依据公司问责制度和员工处分制度处理；涉嫌违纪违法的，移交纪检监督机构处理。</w:t>
      </w:r>
    </w:p>
    <w:p w14:paraId="6A4EEFE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第三十五条  公司各级单位和部门在行贿及涉嫌行贿供应商处理期内违规与相关单位、人员发生经济往来的，一经查实，严肃追究相关部门（单位）和人员责任。</w:t>
      </w:r>
    </w:p>
    <w:p w14:paraId="7F7036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第七章  附则</w:t>
      </w:r>
    </w:p>
    <w:p w14:paraId="37B70BE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第三十六条  本细则由公司供应链管理部负责解释，细则中未明确的供应链监督管理要求按《中国南方电网有限责任公司供应链监督管理办法》执行。</w:t>
      </w:r>
    </w:p>
    <w:p w14:paraId="55BC1A6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第三十七条  本细则自公布之日隔月1日起执行。</w:t>
      </w:r>
    </w:p>
    <w:p w14:paraId="5D596F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第三十八条  本细则主要测评条款为第三、五、六、八、十四、十五、十七、十九、二十一、二十二、二十五、二十六、二十九条、三十一条。  </w:t>
      </w:r>
    </w:p>
    <w:p w14:paraId="4425BAA8">
      <w:pPr>
        <w:spacing w:beforeLines="0" w:afterLines="0"/>
        <w:jc w:val="left"/>
        <w:rPr>
          <w:rFonts w:hint="eastAsia" w:ascii="微软雅黑" w:hAnsi="微软雅黑" w:eastAsia="微软雅黑"/>
          <w:sz w:val="24"/>
          <w:szCs w:val="24"/>
          <w:lang w:val="zh-CN"/>
        </w:rPr>
      </w:pPr>
    </w:p>
    <w:p w14:paraId="2D0DA0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附录A：供应链合规、效能监督内容</w:t>
      </w:r>
    </w:p>
    <w:p w14:paraId="7F5628A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附录B：供应链监督权限清单</w:t>
      </w:r>
    </w:p>
    <w:p w14:paraId="0423278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附录C：供应链监督风险管理业务流程图</w:t>
      </w:r>
    </w:p>
    <w:p w14:paraId="03B1C6E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附录D：供应商行贿情形</w:t>
      </w:r>
    </w:p>
    <w:p w14:paraId="4A7A759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 行贿供应商市场禁入启动程序</w:t>
      </w:r>
    </w:p>
    <w:p w14:paraId="38DEAA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附录F：涉嫌行贿供应商不接受投标处理启动程序</w:t>
      </w:r>
    </w:p>
    <w:p w14:paraId="17C3B7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附录G: 投诉和异议处理工作指引</w:t>
      </w:r>
    </w:p>
    <w:p w14:paraId="7E425B4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附录H: 投诉书（模板）</w:t>
      </w:r>
    </w:p>
    <w:p w14:paraId="4C803DA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附录I:异议书（模板）</w:t>
      </w:r>
    </w:p>
    <w:p w14:paraId="12A84E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附录J:投诉和异议台账</w:t>
      </w:r>
    </w:p>
    <w:p w14:paraId="27B36264">
      <w:pPr>
        <w:spacing w:beforeLines="0" w:afterLines="0"/>
        <w:jc w:val="left"/>
        <w:rPr>
          <w:rFonts w:hint="eastAsia" w:ascii="微软雅黑" w:hAnsi="微软雅黑" w:eastAsia="微软雅黑"/>
          <w:sz w:val="24"/>
          <w:szCs w:val="24"/>
          <w:lang w:val="zh-CN"/>
        </w:rPr>
      </w:pPr>
    </w:p>
    <w:p w14:paraId="2A7E271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 供应链合规、效能监督内容</w:t>
      </w:r>
    </w:p>
    <w:p w14:paraId="004E564A">
      <w:pPr>
        <w:spacing w:beforeLines="0" w:afterLines="0"/>
        <w:jc w:val="left"/>
        <w:rPr>
          <w:rFonts w:hint="eastAsia" w:ascii="微软雅黑" w:hAnsi="微软雅黑" w:eastAsia="微软雅黑"/>
          <w:sz w:val="24"/>
          <w:szCs w:val="24"/>
          <w:lang w:val="zh-CN"/>
        </w:rPr>
      </w:pPr>
    </w:p>
    <w:p w14:paraId="6B0E8AA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附录B 供应链监督权限清单</w:t>
      </w:r>
    </w:p>
    <w:p w14:paraId="08F89D27">
      <w:pPr>
        <w:spacing w:beforeLines="0" w:afterLines="0"/>
        <w:jc w:val="left"/>
        <w:rPr>
          <w:rFonts w:hint="eastAsia" w:ascii="微软雅黑" w:hAnsi="微软雅黑" w:eastAsia="微软雅黑"/>
          <w:sz w:val="24"/>
          <w:szCs w:val="24"/>
          <w:lang w:val="zh-CN"/>
        </w:rPr>
      </w:pPr>
    </w:p>
    <w:p w14:paraId="6C1446D4">
      <w:pPr>
        <w:spacing w:beforeLines="0" w:afterLines="0"/>
        <w:jc w:val="left"/>
        <w:rPr>
          <w:rFonts w:hint="eastAsia" w:ascii="微软雅黑" w:hAnsi="微软雅黑" w:eastAsia="微软雅黑"/>
          <w:sz w:val="24"/>
          <w:szCs w:val="24"/>
          <w:lang w:val="zh-CN"/>
        </w:rPr>
      </w:pPr>
    </w:p>
    <w:p w14:paraId="55FDC2E0">
      <w:pPr>
        <w:spacing w:beforeLines="0" w:afterLines="0"/>
        <w:jc w:val="left"/>
        <w:rPr>
          <w:rFonts w:hint="eastAsia" w:ascii="微软雅黑" w:hAnsi="微软雅黑" w:eastAsia="微软雅黑"/>
          <w:sz w:val="24"/>
          <w:szCs w:val="24"/>
          <w:lang w:val="zh-CN"/>
        </w:rPr>
      </w:pPr>
    </w:p>
    <w:p w14:paraId="4A1CC2B3">
      <w:pPr>
        <w:spacing w:beforeLines="0" w:afterLines="0"/>
        <w:jc w:val="left"/>
        <w:rPr>
          <w:rFonts w:hint="eastAsia" w:ascii="微软雅黑" w:hAnsi="微软雅黑" w:eastAsia="微软雅黑"/>
          <w:sz w:val="24"/>
          <w:szCs w:val="24"/>
          <w:lang w:val="zh-CN"/>
        </w:rPr>
      </w:pPr>
    </w:p>
    <w:p w14:paraId="1F09DF6F">
      <w:pPr>
        <w:spacing w:beforeLines="0" w:afterLines="0"/>
        <w:jc w:val="left"/>
        <w:rPr>
          <w:rFonts w:hint="eastAsia" w:ascii="微软雅黑" w:hAnsi="微软雅黑" w:eastAsia="微软雅黑"/>
          <w:sz w:val="24"/>
          <w:szCs w:val="24"/>
          <w:lang w:val="zh-CN"/>
        </w:rPr>
      </w:pPr>
    </w:p>
    <w:p w14:paraId="4862CE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附录C 供应链监督风险管理业务流程图</w:t>
      </w:r>
    </w:p>
    <w:p w14:paraId="5A15203C">
      <w:pPr>
        <w:spacing w:beforeLines="0" w:afterLines="0"/>
        <w:jc w:val="left"/>
        <w:rPr>
          <w:rFonts w:hint="eastAsia" w:ascii="微软雅黑" w:hAnsi="微软雅黑" w:eastAsia="微软雅黑"/>
          <w:sz w:val="24"/>
          <w:szCs w:val="24"/>
          <w:lang w:val="zh-CN"/>
        </w:rPr>
      </w:pPr>
    </w:p>
    <w:p w14:paraId="1DC043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附录D 供应商行贿情形</w:t>
      </w:r>
    </w:p>
    <w:p w14:paraId="0B6A7A1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经人民法院生效判决认定构成行贿犯罪的;</w:t>
      </w:r>
    </w:p>
    <w:p w14:paraId="38373D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行贿犯罪情节轻微，依照刑法规定不需要判处刑罚或免除刑罚，人民检察院作出不起诉决定的；</w:t>
      </w:r>
    </w:p>
    <w:p w14:paraId="298C299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经市场监督管理部门查证属实且给予行政处罚的商业贿赂行为；</w:t>
      </w:r>
    </w:p>
    <w:p w14:paraId="3637BD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经检察机关、纪委监委、公安机关或市场监督管理部门查证属实的行贿行为，行贿供应商虽未被追究刑事责任或受到行政处罚，但受贿人受到刑罚、纪律处分、政务（政纪）处分或行政处罚等责任追究的；</w:t>
      </w:r>
    </w:p>
    <w:p w14:paraId="124718E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经公司各级纪检监督机构查证属实的供应商行贿行为。</w:t>
      </w:r>
    </w:p>
    <w:p w14:paraId="654AD61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 行贿供应商市场禁入启动程序</w:t>
      </w:r>
    </w:p>
    <w:p w14:paraId="5B589B7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（一）供应商行贿信息获取来源为三级单位时，按以下程序提出市场禁入建议：</w:t>
      </w:r>
    </w:p>
    <w:p w14:paraId="7BF4792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1.三级单位纪检监督机构在获得供应商行贿行为信息后，应当在2个工作日内向同级供应链管理部门发出供应商行贿行为信息，并抄报公司监督部。</w:t>
      </w:r>
    </w:p>
    <w:p w14:paraId="05CB47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三级单位供应链管理部门获得供应商行贿行为信息后，应在2个工作日内将相关信息上报公司供应链管理部，并应当在5个工作日内约谈或告知相应供应商。对存在异议的，允许供应商在约谈后7日内提交申诉材料，会同同级纪检监督机构依据其申诉理由综合研判决定是否接受其申诉理由，如决定对行贿供应商提出实施市场禁入建议的，需落实监督工作上下联动机制，将禁入建议上报公司供应链管理部。</w:t>
      </w:r>
    </w:p>
    <w:p w14:paraId="68FA4A9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公司供应链管理部自收到行贿供应商市场禁入建议后，应会同公司监督部集体审查，复核行为事实认定是否清楚、禁入期限建议适用是否正确、程序是否合规，必要时应组织复议约谈，经本单位分管领导审批后，将禁入建议上报网公司供应链管理部。</w:t>
      </w:r>
    </w:p>
    <w:p w14:paraId="09FB861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(二)供应商行贿信息获取来源为公司时，按以下程序提出市场禁入建议：</w:t>
      </w:r>
    </w:p>
    <w:p w14:paraId="0B96882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1.公司监督部获得供应商行贿行为信息，应当在2个工作日内向公司供应链管理部发出供应商行贿行为信息，并抄报网公司纪检监察组。</w:t>
      </w:r>
    </w:p>
    <w:p w14:paraId="57E795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公司供应链管理部收到供应商行贿行为信息，应当在5个工作日内组织约谈或告知相关供应商，对存在异议的，允许供应商在约谈后7日内提交申诉材料，会同监督部依据其申诉理由综合研判决定是否接受其申诉理由。如最终决定对行贿供应商提出实施市场禁入建议的，需落实监督工作上下联动机制，经本单位分管领导审批后，将禁入建议上报网公司供应链管理部。</w:t>
      </w:r>
    </w:p>
    <w:p w14:paraId="11B0077C">
      <w:pPr>
        <w:spacing w:beforeLines="0" w:afterLines="0"/>
        <w:jc w:val="left"/>
        <w:rPr>
          <w:rFonts w:hint="eastAsia" w:ascii="微软雅黑" w:hAnsi="微软雅黑" w:eastAsia="微软雅黑"/>
          <w:sz w:val="24"/>
          <w:szCs w:val="24"/>
          <w:lang w:val="zh-CN"/>
        </w:rPr>
      </w:pPr>
    </w:p>
    <w:p w14:paraId="1A76CFFE">
      <w:pPr>
        <w:spacing w:beforeLines="0" w:afterLines="0"/>
        <w:jc w:val="left"/>
        <w:rPr>
          <w:rFonts w:hint="eastAsia" w:ascii="微软雅黑" w:hAnsi="微软雅黑" w:eastAsia="微软雅黑"/>
          <w:sz w:val="24"/>
          <w:szCs w:val="24"/>
          <w:lang w:val="zh-CN"/>
        </w:rPr>
      </w:pPr>
    </w:p>
    <w:p w14:paraId="3F2CAC8D">
      <w:pPr>
        <w:spacing w:beforeLines="0" w:afterLines="0"/>
        <w:jc w:val="left"/>
        <w:rPr>
          <w:rFonts w:hint="eastAsia" w:ascii="微软雅黑" w:hAnsi="微软雅黑" w:eastAsia="微软雅黑"/>
          <w:sz w:val="24"/>
          <w:szCs w:val="24"/>
          <w:lang w:val="zh-CN"/>
        </w:rPr>
      </w:pPr>
    </w:p>
    <w:p w14:paraId="79459D13">
      <w:pPr>
        <w:spacing w:beforeLines="0" w:afterLines="0"/>
        <w:jc w:val="left"/>
        <w:rPr>
          <w:rFonts w:hint="eastAsia" w:ascii="微软雅黑" w:hAnsi="微软雅黑" w:eastAsia="微软雅黑"/>
          <w:sz w:val="24"/>
          <w:szCs w:val="24"/>
          <w:lang w:val="zh-CN"/>
        </w:rPr>
      </w:pPr>
    </w:p>
    <w:p w14:paraId="5A987E66">
      <w:pPr>
        <w:spacing w:beforeLines="0" w:afterLines="0"/>
        <w:jc w:val="left"/>
        <w:rPr>
          <w:rFonts w:hint="eastAsia" w:ascii="微软雅黑" w:hAnsi="微软雅黑" w:eastAsia="微软雅黑"/>
          <w:sz w:val="24"/>
          <w:szCs w:val="24"/>
          <w:lang w:val="zh-CN"/>
        </w:rPr>
      </w:pPr>
    </w:p>
    <w:p w14:paraId="1ACA33F2">
      <w:pPr>
        <w:spacing w:beforeLines="0" w:afterLines="0"/>
        <w:jc w:val="left"/>
        <w:rPr>
          <w:rFonts w:hint="eastAsia" w:ascii="微软雅黑" w:hAnsi="微软雅黑" w:eastAsia="微软雅黑"/>
          <w:sz w:val="24"/>
          <w:szCs w:val="24"/>
          <w:lang w:val="zh-CN"/>
        </w:rPr>
      </w:pPr>
    </w:p>
    <w:p w14:paraId="1FB9B945">
      <w:pPr>
        <w:spacing w:beforeLines="0" w:afterLines="0"/>
        <w:jc w:val="left"/>
        <w:rPr>
          <w:rFonts w:hint="eastAsia" w:ascii="微软雅黑" w:hAnsi="微软雅黑" w:eastAsia="微软雅黑"/>
          <w:sz w:val="24"/>
          <w:szCs w:val="24"/>
          <w:lang w:val="zh-CN"/>
        </w:rPr>
      </w:pPr>
    </w:p>
    <w:p w14:paraId="3B38F510">
      <w:pPr>
        <w:spacing w:beforeLines="0" w:afterLines="0"/>
        <w:jc w:val="left"/>
        <w:rPr>
          <w:rFonts w:hint="eastAsia" w:ascii="微软雅黑" w:hAnsi="微软雅黑" w:eastAsia="微软雅黑"/>
          <w:sz w:val="24"/>
          <w:szCs w:val="24"/>
          <w:lang w:val="zh-CN"/>
        </w:rPr>
      </w:pPr>
    </w:p>
    <w:p w14:paraId="0A73E7E0">
      <w:pPr>
        <w:spacing w:beforeLines="0" w:afterLines="0"/>
        <w:jc w:val="left"/>
        <w:rPr>
          <w:rFonts w:hint="eastAsia" w:ascii="微软雅黑" w:hAnsi="微软雅黑" w:eastAsia="微软雅黑"/>
          <w:sz w:val="24"/>
          <w:szCs w:val="24"/>
          <w:lang w:val="zh-CN"/>
        </w:rPr>
      </w:pPr>
    </w:p>
    <w:p w14:paraId="4C47F686">
      <w:pPr>
        <w:spacing w:beforeLines="0" w:afterLines="0"/>
        <w:jc w:val="left"/>
        <w:rPr>
          <w:rFonts w:hint="eastAsia" w:ascii="微软雅黑" w:hAnsi="微软雅黑" w:eastAsia="微软雅黑"/>
          <w:sz w:val="24"/>
          <w:szCs w:val="24"/>
          <w:lang w:val="zh-CN"/>
        </w:rPr>
      </w:pPr>
    </w:p>
    <w:p w14:paraId="60C42B2A">
      <w:pPr>
        <w:spacing w:beforeLines="0" w:afterLines="0"/>
        <w:jc w:val="left"/>
        <w:rPr>
          <w:rFonts w:hint="eastAsia" w:ascii="微软雅黑" w:hAnsi="微软雅黑" w:eastAsia="微软雅黑"/>
          <w:sz w:val="24"/>
          <w:szCs w:val="24"/>
          <w:lang w:val="zh-CN"/>
        </w:rPr>
      </w:pPr>
    </w:p>
    <w:p w14:paraId="54B1E086">
      <w:pPr>
        <w:spacing w:beforeLines="0" w:afterLines="0"/>
        <w:jc w:val="left"/>
        <w:rPr>
          <w:rFonts w:hint="eastAsia" w:ascii="微软雅黑" w:hAnsi="微软雅黑" w:eastAsia="微软雅黑"/>
          <w:sz w:val="24"/>
          <w:szCs w:val="24"/>
          <w:lang w:val="zh-CN"/>
        </w:rPr>
      </w:pPr>
    </w:p>
    <w:p w14:paraId="6C643E1C">
      <w:pPr>
        <w:spacing w:beforeLines="0" w:afterLines="0"/>
        <w:jc w:val="left"/>
        <w:rPr>
          <w:rFonts w:hint="eastAsia" w:ascii="微软雅黑" w:hAnsi="微软雅黑" w:eastAsia="微软雅黑"/>
          <w:sz w:val="24"/>
          <w:szCs w:val="24"/>
          <w:lang w:val="zh-CN"/>
        </w:rPr>
      </w:pPr>
    </w:p>
    <w:p w14:paraId="5ADC4A62">
      <w:pPr>
        <w:spacing w:beforeLines="0" w:afterLines="0"/>
        <w:jc w:val="left"/>
        <w:rPr>
          <w:rFonts w:hint="eastAsia" w:ascii="微软雅黑" w:hAnsi="微软雅黑" w:eastAsia="微软雅黑"/>
          <w:sz w:val="24"/>
          <w:szCs w:val="24"/>
          <w:lang w:val="zh-CN"/>
        </w:rPr>
      </w:pPr>
    </w:p>
    <w:p w14:paraId="46B74810">
      <w:pPr>
        <w:spacing w:beforeLines="0" w:afterLines="0"/>
        <w:jc w:val="left"/>
        <w:rPr>
          <w:rFonts w:hint="eastAsia" w:ascii="微软雅黑" w:hAnsi="微软雅黑" w:eastAsia="微软雅黑"/>
          <w:sz w:val="24"/>
          <w:szCs w:val="24"/>
          <w:lang w:val="zh-CN"/>
        </w:rPr>
      </w:pPr>
    </w:p>
    <w:p w14:paraId="11448E54">
      <w:pPr>
        <w:spacing w:beforeLines="0" w:afterLines="0"/>
        <w:jc w:val="left"/>
        <w:rPr>
          <w:rFonts w:hint="eastAsia" w:ascii="微软雅黑" w:hAnsi="微软雅黑" w:eastAsia="微软雅黑"/>
          <w:sz w:val="24"/>
          <w:szCs w:val="24"/>
          <w:lang w:val="zh-CN"/>
        </w:rPr>
      </w:pPr>
    </w:p>
    <w:p w14:paraId="3237A64D">
      <w:pPr>
        <w:spacing w:beforeLines="0" w:afterLines="0"/>
        <w:jc w:val="left"/>
        <w:rPr>
          <w:rFonts w:hint="eastAsia" w:ascii="微软雅黑" w:hAnsi="微软雅黑" w:eastAsia="微软雅黑"/>
          <w:sz w:val="24"/>
          <w:szCs w:val="24"/>
          <w:lang w:val="zh-CN"/>
        </w:rPr>
      </w:pPr>
    </w:p>
    <w:p w14:paraId="737293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附录E-1行贿供应商市场禁入启动程序（供应商行贿信息获取来源为三级单位）</w:t>
      </w:r>
    </w:p>
    <w:p w14:paraId="32DD5F59">
      <w:pPr>
        <w:spacing w:beforeLines="0" w:afterLines="0"/>
        <w:jc w:val="left"/>
        <w:rPr>
          <w:rFonts w:hint="eastAsia" w:ascii="微软雅黑" w:hAnsi="微软雅黑" w:eastAsia="微软雅黑"/>
          <w:sz w:val="24"/>
          <w:szCs w:val="24"/>
          <w:lang w:val="zh-CN"/>
        </w:rPr>
      </w:pPr>
    </w:p>
    <w:p w14:paraId="559E176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附录E-2行贿供应商市场禁入启动程序（供应商行贿信息获取来源为公司）</w:t>
      </w:r>
    </w:p>
    <w:p w14:paraId="771DAEF6">
      <w:pPr>
        <w:spacing w:beforeLines="0" w:afterLines="0"/>
        <w:jc w:val="left"/>
        <w:rPr>
          <w:rFonts w:hint="eastAsia" w:ascii="微软雅黑" w:hAnsi="微软雅黑" w:eastAsia="微软雅黑"/>
          <w:sz w:val="24"/>
          <w:szCs w:val="24"/>
          <w:lang w:val="zh-CN"/>
        </w:rPr>
      </w:pPr>
    </w:p>
    <w:p w14:paraId="00B8865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 涉嫌行贿供应商不接受投标处理启动程序</w:t>
      </w:r>
    </w:p>
    <w:p w14:paraId="0AA4D81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（一）供应商涉嫌行贿信息获取来源为三级单位时，按以下程序提出不接受投标处理建议：</w:t>
      </w:r>
    </w:p>
    <w:p w14:paraId="1A2CBB3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1.三级单位纪检监督机构在初步核实供应商存在涉嫌行贿行为后，认为确需实施处理的，将相关信息报送至本级供应链管理部门，并抄报公司监督部。 </w:t>
      </w:r>
    </w:p>
    <w:p w14:paraId="2B032F0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2.三级单位供应链管理部门收到涉嫌行贿行为信息后，应当组织本级监督工作小组分析研判，形成统一处理意见，对涉嫌行贿供应商提出不接受投标的处理建议，经单位分管领导审批后，报公司供应链管理部。</w:t>
      </w:r>
    </w:p>
    <w:p w14:paraId="67A8DF7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公司供应链管理部自收到涉嫌行贿供应商不接受投标处理的建议后，组织监督工作小组集体审查，复核行为事实认定是否清楚、不接受投标处理期限建议适用是否正确、程序是否合规，经公司分管领导审批后，报网公司供应链管理部处理。</w:t>
      </w:r>
    </w:p>
    <w:p w14:paraId="02FD6A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（二）供应商涉嫌行贿信息获取来源为公司时，按以下程序提出不接受投标处理建议：</w:t>
      </w:r>
    </w:p>
    <w:p w14:paraId="56E412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1.公司监督部应当在初步核实供应商存在涉嫌行贿行为后，将相关信息发至公司供应链管理部，并抄报网公司纪检监察组。</w:t>
      </w:r>
    </w:p>
    <w:p w14:paraId="4F58F37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2.公司供应链管理部收到供应商涉嫌行贿行为信息后，应当组织监督工作小组分析研判，形成统一处理意见，经公司分管领导审批后，报网公司供应链管理部处理。</w:t>
      </w:r>
    </w:p>
    <w:p w14:paraId="7BFEB0AD">
      <w:pPr>
        <w:spacing w:beforeLines="0" w:afterLines="0"/>
        <w:jc w:val="left"/>
        <w:rPr>
          <w:rFonts w:hint="eastAsia" w:ascii="微软雅黑" w:hAnsi="微软雅黑" w:eastAsia="微软雅黑"/>
          <w:sz w:val="24"/>
          <w:szCs w:val="24"/>
          <w:lang w:val="zh-CN"/>
        </w:rPr>
      </w:pPr>
    </w:p>
    <w:p w14:paraId="57623F5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附录F-1涉嫌行贿供应商不接受投标处理启动程序（供应商涉嫌行贿信息获取来源为三级单位）</w:t>
      </w:r>
    </w:p>
    <w:p w14:paraId="19BF72FA">
      <w:pPr>
        <w:spacing w:beforeLines="0" w:afterLines="0"/>
        <w:jc w:val="left"/>
        <w:rPr>
          <w:rFonts w:hint="eastAsia" w:ascii="微软雅黑" w:hAnsi="微软雅黑" w:eastAsia="微软雅黑"/>
          <w:sz w:val="24"/>
          <w:szCs w:val="24"/>
          <w:lang w:val="zh-CN"/>
        </w:rPr>
      </w:pPr>
    </w:p>
    <w:p w14:paraId="731386C9">
      <w:pPr>
        <w:spacing w:beforeLines="0" w:afterLines="0"/>
        <w:jc w:val="left"/>
        <w:rPr>
          <w:rFonts w:hint="eastAsia" w:ascii="微软雅黑" w:hAnsi="微软雅黑" w:eastAsia="微软雅黑"/>
          <w:sz w:val="24"/>
          <w:szCs w:val="24"/>
          <w:lang w:val="zh-CN"/>
        </w:rPr>
      </w:pPr>
    </w:p>
    <w:p w14:paraId="34B86119">
      <w:pPr>
        <w:spacing w:beforeLines="0" w:afterLines="0"/>
        <w:jc w:val="left"/>
        <w:rPr>
          <w:rFonts w:hint="eastAsia" w:ascii="微软雅黑" w:hAnsi="微软雅黑" w:eastAsia="微软雅黑"/>
          <w:sz w:val="24"/>
          <w:szCs w:val="24"/>
          <w:lang w:val="zh-CN"/>
        </w:rPr>
      </w:pPr>
    </w:p>
    <w:p w14:paraId="57F877B5">
      <w:pPr>
        <w:spacing w:beforeLines="0" w:afterLines="0"/>
        <w:jc w:val="left"/>
        <w:rPr>
          <w:rFonts w:hint="eastAsia" w:ascii="微软雅黑" w:hAnsi="微软雅黑" w:eastAsia="微软雅黑"/>
          <w:sz w:val="24"/>
          <w:szCs w:val="24"/>
          <w:lang w:val="zh-CN"/>
        </w:rPr>
      </w:pPr>
    </w:p>
    <w:p w14:paraId="5E0DDF0D">
      <w:pPr>
        <w:spacing w:beforeLines="0" w:afterLines="0"/>
        <w:jc w:val="left"/>
        <w:rPr>
          <w:rFonts w:hint="eastAsia" w:ascii="微软雅黑" w:hAnsi="微软雅黑" w:eastAsia="微软雅黑"/>
          <w:sz w:val="24"/>
          <w:szCs w:val="24"/>
          <w:lang w:val="zh-CN"/>
        </w:rPr>
      </w:pPr>
    </w:p>
    <w:p w14:paraId="1DDBE6D9">
      <w:pPr>
        <w:spacing w:beforeLines="0" w:afterLines="0"/>
        <w:jc w:val="left"/>
        <w:rPr>
          <w:rFonts w:hint="eastAsia" w:ascii="微软雅黑" w:hAnsi="微软雅黑" w:eastAsia="微软雅黑"/>
          <w:sz w:val="24"/>
          <w:szCs w:val="24"/>
          <w:lang w:val="zh-CN"/>
        </w:rPr>
      </w:pPr>
    </w:p>
    <w:p w14:paraId="4521F534">
      <w:pPr>
        <w:spacing w:beforeLines="0" w:afterLines="0"/>
        <w:jc w:val="left"/>
        <w:rPr>
          <w:rFonts w:hint="eastAsia" w:ascii="微软雅黑" w:hAnsi="微软雅黑" w:eastAsia="微软雅黑"/>
          <w:sz w:val="24"/>
          <w:szCs w:val="24"/>
          <w:lang w:val="zh-CN"/>
        </w:rPr>
      </w:pPr>
    </w:p>
    <w:p w14:paraId="29AB5FD8">
      <w:pPr>
        <w:spacing w:beforeLines="0" w:afterLines="0"/>
        <w:jc w:val="left"/>
        <w:rPr>
          <w:rFonts w:hint="eastAsia" w:ascii="微软雅黑" w:hAnsi="微软雅黑" w:eastAsia="微软雅黑"/>
          <w:sz w:val="24"/>
          <w:szCs w:val="24"/>
          <w:lang w:val="zh-CN"/>
        </w:rPr>
      </w:pPr>
    </w:p>
    <w:p w14:paraId="5718175E">
      <w:pPr>
        <w:spacing w:beforeLines="0" w:afterLines="0"/>
        <w:jc w:val="left"/>
        <w:rPr>
          <w:rFonts w:hint="eastAsia" w:ascii="微软雅黑" w:hAnsi="微软雅黑" w:eastAsia="微软雅黑"/>
          <w:sz w:val="24"/>
          <w:szCs w:val="24"/>
          <w:lang w:val="zh-CN"/>
        </w:rPr>
      </w:pPr>
    </w:p>
    <w:p w14:paraId="3BC1B3F7">
      <w:pPr>
        <w:spacing w:beforeLines="0" w:afterLines="0"/>
        <w:jc w:val="left"/>
        <w:rPr>
          <w:rFonts w:hint="eastAsia" w:ascii="微软雅黑" w:hAnsi="微软雅黑" w:eastAsia="微软雅黑"/>
          <w:sz w:val="24"/>
          <w:szCs w:val="24"/>
          <w:lang w:val="zh-CN"/>
        </w:rPr>
      </w:pPr>
    </w:p>
    <w:p w14:paraId="156A4644">
      <w:pPr>
        <w:spacing w:beforeLines="0" w:afterLines="0"/>
        <w:jc w:val="left"/>
        <w:rPr>
          <w:rFonts w:hint="eastAsia" w:ascii="微软雅黑" w:hAnsi="微软雅黑" w:eastAsia="微软雅黑"/>
          <w:sz w:val="24"/>
          <w:szCs w:val="24"/>
          <w:lang w:val="zh-CN"/>
        </w:rPr>
      </w:pPr>
    </w:p>
    <w:p w14:paraId="778D4FDE">
      <w:pPr>
        <w:spacing w:beforeLines="0" w:afterLines="0"/>
        <w:jc w:val="left"/>
        <w:rPr>
          <w:rFonts w:hint="eastAsia" w:ascii="微软雅黑" w:hAnsi="微软雅黑" w:eastAsia="微软雅黑"/>
          <w:sz w:val="24"/>
          <w:szCs w:val="24"/>
          <w:lang w:val="zh-CN"/>
        </w:rPr>
      </w:pPr>
    </w:p>
    <w:p w14:paraId="78AC9F52">
      <w:pPr>
        <w:spacing w:beforeLines="0" w:afterLines="0"/>
        <w:jc w:val="left"/>
        <w:rPr>
          <w:rFonts w:hint="eastAsia" w:ascii="微软雅黑" w:hAnsi="微软雅黑" w:eastAsia="微软雅黑"/>
          <w:sz w:val="24"/>
          <w:szCs w:val="24"/>
          <w:lang w:val="zh-CN"/>
        </w:rPr>
      </w:pPr>
    </w:p>
    <w:p w14:paraId="0A5C2B66">
      <w:pPr>
        <w:spacing w:beforeLines="0" w:afterLines="0"/>
        <w:jc w:val="left"/>
        <w:rPr>
          <w:rFonts w:hint="eastAsia" w:ascii="微软雅黑" w:hAnsi="微软雅黑" w:eastAsia="微软雅黑"/>
          <w:sz w:val="24"/>
          <w:szCs w:val="24"/>
          <w:lang w:val="zh-CN"/>
        </w:rPr>
      </w:pPr>
    </w:p>
    <w:p w14:paraId="35ECFC37">
      <w:pPr>
        <w:spacing w:beforeLines="0" w:afterLines="0"/>
        <w:jc w:val="left"/>
        <w:rPr>
          <w:rFonts w:hint="eastAsia" w:ascii="微软雅黑" w:hAnsi="微软雅黑" w:eastAsia="微软雅黑"/>
          <w:sz w:val="24"/>
          <w:szCs w:val="24"/>
          <w:lang w:val="zh-CN"/>
        </w:rPr>
      </w:pPr>
    </w:p>
    <w:p w14:paraId="5358EA92">
      <w:pPr>
        <w:spacing w:beforeLines="0" w:afterLines="0"/>
        <w:jc w:val="left"/>
        <w:rPr>
          <w:rFonts w:hint="eastAsia" w:ascii="微软雅黑" w:hAnsi="微软雅黑" w:eastAsia="微软雅黑"/>
          <w:sz w:val="24"/>
          <w:szCs w:val="24"/>
          <w:lang w:val="zh-CN"/>
        </w:rPr>
      </w:pPr>
    </w:p>
    <w:p w14:paraId="56BFDB7E">
      <w:pPr>
        <w:spacing w:beforeLines="0" w:afterLines="0"/>
        <w:jc w:val="left"/>
        <w:rPr>
          <w:rFonts w:hint="eastAsia" w:ascii="微软雅黑" w:hAnsi="微软雅黑" w:eastAsia="微软雅黑"/>
          <w:sz w:val="24"/>
          <w:szCs w:val="24"/>
          <w:lang w:val="zh-CN"/>
        </w:rPr>
      </w:pPr>
    </w:p>
    <w:p w14:paraId="3EFAEE06">
      <w:pPr>
        <w:spacing w:beforeLines="0" w:afterLines="0"/>
        <w:jc w:val="left"/>
        <w:rPr>
          <w:rFonts w:hint="eastAsia" w:ascii="微软雅黑" w:hAnsi="微软雅黑" w:eastAsia="微软雅黑"/>
          <w:sz w:val="24"/>
          <w:szCs w:val="24"/>
          <w:lang w:val="zh-CN"/>
        </w:rPr>
      </w:pPr>
    </w:p>
    <w:p w14:paraId="4F4B8FE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b/>
      </w:r>
    </w:p>
    <w:p w14:paraId="144E1E8E">
      <w:pPr>
        <w:spacing w:beforeLines="0" w:afterLines="0"/>
        <w:jc w:val="left"/>
        <w:rPr>
          <w:rFonts w:hint="eastAsia" w:ascii="微软雅黑" w:hAnsi="微软雅黑" w:eastAsia="微软雅黑"/>
          <w:sz w:val="24"/>
          <w:szCs w:val="24"/>
          <w:lang w:val="zh-CN"/>
        </w:rPr>
      </w:pPr>
    </w:p>
    <w:p w14:paraId="006F3D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附录F-2涉嫌行贿供应商不接受投标处理启动程序（供应商涉嫌行贿信息获取来源为公司）</w:t>
      </w:r>
    </w:p>
    <w:p w14:paraId="759BE8B6">
      <w:pPr>
        <w:spacing w:beforeLines="0" w:afterLines="0"/>
        <w:jc w:val="left"/>
        <w:rPr>
          <w:rFonts w:hint="eastAsia" w:ascii="微软雅黑" w:hAnsi="微软雅黑" w:eastAsia="微软雅黑"/>
          <w:sz w:val="24"/>
          <w:szCs w:val="24"/>
          <w:lang w:val="zh-CN"/>
        </w:rPr>
      </w:pPr>
    </w:p>
    <w:p w14:paraId="03759E7F">
      <w:pPr>
        <w:spacing w:beforeLines="0" w:afterLines="0"/>
        <w:jc w:val="left"/>
        <w:rPr>
          <w:rFonts w:hint="eastAsia" w:ascii="微软雅黑" w:hAnsi="微软雅黑" w:eastAsia="微软雅黑"/>
          <w:sz w:val="24"/>
          <w:szCs w:val="24"/>
          <w:lang w:val="zh-CN"/>
        </w:rPr>
      </w:pPr>
    </w:p>
    <w:p w14:paraId="43397B06">
      <w:pPr>
        <w:spacing w:beforeLines="0" w:afterLines="0"/>
        <w:jc w:val="left"/>
        <w:rPr>
          <w:rFonts w:hint="eastAsia" w:ascii="微软雅黑" w:hAnsi="微软雅黑" w:eastAsia="微软雅黑"/>
          <w:sz w:val="24"/>
          <w:szCs w:val="24"/>
          <w:lang w:val="zh-CN"/>
        </w:rPr>
      </w:pPr>
    </w:p>
    <w:p w14:paraId="2E3D7EBB">
      <w:pPr>
        <w:spacing w:beforeLines="0" w:afterLines="0"/>
        <w:jc w:val="left"/>
        <w:rPr>
          <w:rFonts w:hint="eastAsia" w:ascii="微软雅黑" w:hAnsi="微软雅黑" w:eastAsia="微软雅黑"/>
          <w:sz w:val="24"/>
          <w:szCs w:val="24"/>
          <w:lang w:val="zh-CN"/>
        </w:rPr>
      </w:pPr>
    </w:p>
    <w:p w14:paraId="01CCA8D5">
      <w:pPr>
        <w:spacing w:beforeLines="0" w:afterLines="0"/>
        <w:jc w:val="left"/>
        <w:rPr>
          <w:rFonts w:hint="eastAsia" w:ascii="微软雅黑" w:hAnsi="微软雅黑" w:eastAsia="微软雅黑"/>
          <w:sz w:val="24"/>
          <w:szCs w:val="24"/>
          <w:lang w:val="zh-CN"/>
        </w:rPr>
      </w:pPr>
    </w:p>
    <w:p w14:paraId="7D664AE1">
      <w:pPr>
        <w:spacing w:beforeLines="0" w:afterLines="0"/>
        <w:jc w:val="left"/>
        <w:rPr>
          <w:rFonts w:hint="eastAsia" w:ascii="微软雅黑" w:hAnsi="微软雅黑" w:eastAsia="微软雅黑"/>
          <w:sz w:val="24"/>
          <w:szCs w:val="24"/>
          <w:lang w:val="zh-CN"/>
        </w:rPr>
      </w:pPr>
    </w:p>
    <w:p w14:paraId="2B620ABA">
      <w:pPr>
        <w:spacing w:beforeLines="0" w:afterLines="0"/>
        <w:jc w:val="left"/>
        <w:rPr>
          <w:rFonts w:hint="eastAsia" w:ascii="微软雅黑" w:hAnsi="微软雅黑" w:eastAsia="微软雅黑"/>
          <w:sz w:val="24"/>
          <w:szCs w:val="24"/>
          <w:lang w:val="zh-CN"/>
        </w:rPr>
      </w:pPr>
    </w:p>
    <w:p w14:paraId="3022FB47">
      <w:pPr>
        <w:spacing w:beforeLines="0" w:afterLines="0"/>
        <w:jc w:val="left"/>
        <w:rPr>
          <w:rFonts w:hint="eastAsia" w:ascii="微软雅黑" w:hAnsi="微软雅黑" w:eastAsia="微软雅黑"/>
          <w:sz w:val="24"/>
          <w:szCs w:val="24"/>
          <w:lang w:val="zh-CN"/>
        </w:rPr>
      </w:pPr>
    </w:p>
    <w:p w14:paraId="3206A426">
      <w:pPr>
        <w:spacing w:beforeLines="0" w:afterLines="0"/>
        <w:jc w:val="left"/>
        <w:rPr>
          <w:rFonts w:hint="eastAsia" w:ascii="微软雅黑" w:hAnsi="微软雅黑" w:eastAsia="微软雅黑"/>
          <w:sz w:val="24"/>
          <w:szCs w:val="24"/>
          <w:lang w:val="zh-CN"/>
        </w:rPr>
      </w:pPr>
    </w:p>
    <w:p w14:paraId="726866C5">
      <w:pPr>
        <w:spacing w:beforeLines="0" w:afterLines="0"/>
        <w:jc w:val="left"/>
        <w:rPr>
          <w:rFonts w:hint="eastAsia" w:ascii="微软雅黑" w:hAnsi="微软雅黑" w:eastAsia="微软雅黑"/>
          <w:sz w:val="24"/>
          <w:szCs w:val="24"/>
          <w:lang w:val="zh-CN"/>
        </w:rPr>
      </w:pPr>
    </w:p>
    <w:p w14:paraId="03ABA609">
      <w:pPr>
        <w:spacing w:beforeLines="0" w:afterLines="0"/>
        <w:jc w:val="left"/>
        <w:rPr>
          <w:rFonts w:hint="eastAsia" w:ascii="微软雅黑" w:hAnsi="微软雅黑" w:eastAsia="微软雅黑"/>
          <w:sz w:val="24"/>
          <w:szCs w:val="24"/>
          <w:lang w:val="zh-CN"/>
        </w:rPr>
      </w:pPr>
    </w:p>
    <w:p w14:paraId="01378982">
      <w:pPr>
        <w:spacing w:beforeLines="0" w:afterLines="0"/>
        <w:jc w:val="left"/>
        <w:rPr>
          <w:rFonts w:hint="eastAsia" w:ascii="微软雅黑" w:hAnsi="微软雅黑" w:eastAsia="微软雅黑"/>
          <w:sz w:val="24"/>
          <w:szCs w:val="24"/>
          <w:lang w:val="zh-CN"/>
        </w:rPr>
      </w:pPr>
    </w:p>
    <w:p w14:paraId="6E04AA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b/>
      </w:r>
    </w:p>
    <w:p w14:paraId="0CE28C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附录G 投诉和异议处理工作指引</w:t>
      </w:r>
    </w:p>
    <w:p w14:paraId="791E8EFF">
      <w:pPr>
        <w:spacing w:beforeLines="0" w:afterLines="0"/>
        <w:jc w:val="left"/>
        <w:rPr>
          <w:rFonts w:hint="eastAsia" w:ascii="微软雅黑" w:hAnsi="微软雅黑" w:eastAsia="微软雅黑"/>
          <w:sz w:val="24"/>
          <w:szCs w:val="24"/>
          <w:lang w:val="zh-CN"/>
        </w:rPr>
      </w:pPr>
    </w:p>
    <w:p w14:paraId="0ACAAA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一、总则</w:t>
      </w:r>
    </w:p>
    <w:p w14:paraId="399577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为规范公司投诉和异议处理工作，明确主体责任、职责和要求，保障投诉和异议处理业务规范、透明、高效的开展，特制订本工作指引。</w:t>
      </w:r>
    </w:p>
    <w:p w14:paraId="508AA0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二、规范性引用文件</w:t>
      </w:r>
    </w:p>
    <w:p w14:paraId="09B2F0B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《中国南方电网有限责任公司供应链监督管理办法》(Q/CSG2132013-2021)</w:t>
      </w:r>
    </w:p>
    <w:p w14:paraId="74D378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《广东电网有限责任公司采购管理细则》（Q/CSG-GPG 2 13 2 001-2020）</w:t>
      </w:r>
    </w:p>
    <w:p w14:paraId="57DA4BD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《中国南方电网有限责任公司纪检监察组信访举报及问题线索处置管理细则》（ Q/CSG2203033-2021）</w:t>
      </w:r>
    </w:p>
    <w:p w14:paraId="1A7932E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三、术语和定义</w:t>
      </w:r>
    </w:p>
    <w:p w14:paraId="11C5FD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（一）投诉</w:t>
      </w:r>
    </w:p>
    <w:p w14:paraId="3209D4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本工作指引所称投诉是指针对供应链业务开展过程中，举报相关人员存在滥用职权、徇私舞弊、玩忽职守、泄露秘密等违规行为，给予或接受他人财物、好处等违法违纪行为。</w:t>
      </w:r>
    </w:p>
    <w:p w14:paraId="375CE69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异议</w:t>
      </w:r>
    </w:p>
    <w:p w14:paraId="77F852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本工作指引所称异议是指针对供应链业务各环节不符合法律、法规、公司管理规定及要求等提出的质疑。</w:t>
      </w:r>
    </w:p>
    <w:p w14:paraId="7A033CE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四、组织架构及职责</w:t>
      </w:r>
    </w:p>
    <w:p w14:paraId="7FF215C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（一）公司供应链管理部</w:t>
      </w:r>
    </w:p>
    <w:p w14:paraId="554E96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公司供应链管理部是公司供应链监督业务的职能管理部门，主要职责包括：</w:t>
      </w:r>
    </w:p>
    <w:p w14:paraId="3E957F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1.负责受理本单位及网公司转办的供应链业务的异议和投诉，组织同级或下级相关部门、单位调查、核实并形成回复意见。</w:t>
      </w:r>
    </w:p>
    <w:p w14:paraId="2070E4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2.及时向相关纪检监督机构移交涉及廉洁从业、依法履职、秉公用权等问题线索，配合纪检监督机构对有关人员涉嫌违规违纪违法、失职渎职的问题进行核查。</w:t>
      </w:r>
    </w:p>
    <w:p w14:paraId="77DB2B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（二）广东电网物资有限公司</w:t>
      </w:r>
    </w:p>
    <w:p w14:paraId="09512B1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1.负责接收供应链业务异议和投诉，统一转交公司供应链部核实、处理并配合调查，将处理意见回复异议或投诉提出人。</w:t>
      </w:r>
    </w:p>
    <w:p w14:paraId="0970A67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2.配合纪检监督机构对有关人员涉嫌违规违纪违法、失职渎职的问题进行核查。</w:t>
      </w:r>
    </w:p>
    <w:p w14:paraId="10F3A3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（三）本部业务承办部门</w:t>
      </w:r>
    </w:p>
    <w:p w14:paraId="4215FB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1.负责组织对公司本部门所承办供应链业务的异议问题进行核实并形成回复意见。</w:t>
      </w:r>
    </w:p>
    <w:p w14:paraId="6CD71A4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2.配合公司供应链管理部对有关投诉或异议问题开展调查核实。</w:t>
      </w:r>
    </w:p>
    <w:p w14:paraId="4DE361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（三）各级专业技术部门</w:t>
      </w:r>
    </w:p>
    <w:p w14:paraId="7FD15C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配合各级供应链管理部门对有关投诉和异议问题开展调查核实，提出专业意见。</w:t>
      </w:r>
    </w:p>
    <w:p w14:paraId="7B5D61F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（四）三级单位供应链管理部门</w:t>
      </w:r>
    </w:p>
    <w:p w14:paraId="1850CE2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负责受理上级供应链管理部门转办或本单位的供应链业务投诉和异议，组织同级或下级相关部门、单位调查、核实并形成回复意见。</w:t>
      </w:r>
    </w:p>
    <w:p w14:paraId="77C1185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五、工作原则</w:t>
      </w:r>
    </w:p>
    <w:p w14:paraId="257460B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坚持集体审议原则，对投诉和异议问题开展全面分析研判，依法依规开展核查处理，形成统一处理意见及建议，做到事实清楚、依据充分、手续完备、程序合规、处置恰当。</w:t>
      </w:r>
    </w:p>
    <w:p w14:paraId="65F0527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六、投诉的处理</w:t>
      </w:r>
    </w:p>
    <w:p w14:paraId="4CE4E6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（一）投诉不予受理的情形</w:t>
      </w:r>
    </w:p>
    <w:p w14:paraId="1189B99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1.依照有关规定，属于其他机关或者部门（单位)职责范围的。</w:t>
      </w:r>
    </w:p>
    <w:p w14:paraId="2CF9E63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2.涉及事项不具体，且未提供有效线索，难以查证的。</w:t>
      </w:r>
    </w:p>
    <w:p w14:paraId="7797418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3.缺乏事实根据或者法律依据的，或者提出人捏造事实、伪造材料或者以非法手段取得证明材料的。</w:t>
      </w:r>
    </w:p>
    <w:p w14:paraId="283188F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（二）投诉的格式要求</w:t>
      </w:r>
    </w:p>
    <w:p w14:paraId="79FE34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1.投诉书中应包含投诉提出人名称、联系人及联系方式、投诉对象、投诉事项的基本事实、相关请求及主张、有效线索和相关证明材料等信息，具体模板详见附录H。</w:t>
      </w:r>
    </w:p>
    <w:p w14:paraId="14D749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2.投诉人可将投诉书连同其它附件材料以现场递交或邮寄的方式提出。采用邮寄方式提出的投诉，可先以电子邮件方式提出，但投诉书必须在电子邮件发出的当天同时寄出。</w:t>
      </w:r>
    </w:p>
    <w:p w14:paraId="1702FB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（三）投诉的受理和处理</w:t>
      </w:r>
    </w:p>
    <w:p w14:paraId="60F9A1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1.广东电网物资有限公司负责接收供应链业务投诉，统一转交公司供应链部。</w:t>
      </w:r>
    </w:p>
    <w:p w14:paraId="38D27FB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2.公司供应链部应组织核实投诉提出人的身份，经审核符合受理条件的，由监督工作小组开展分析研判，根据实际情况开展分类处理：</w:t>
      </w:r>
    </w:p>
    <w:p w14:paraId="2D7CFE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（1）投诉事项涉及公司本部业务承办部门，由公司供应链部自行组织办理。</w:t>
      </w:r>
    </w:p>
    <w:p w14:paraId="674746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（2）投诉事项涉及三级单位，转交三级单位供应链管理部门组织办理。</w:t>
      </w:r>
    </w:p>
    <w:p w14:paraId="1A67EB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（3）如存在转办不利于核查开展的情形，由公司供应链部自行组织办理。</w:t>
      </w:r>
    </w:p>
    <w:p w14:paraId="28F8E52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公司和三级单位供应链管理部门应组织有关部门开展集体调查、核实，并于25天内出具统一回复意见。三级单位的回复意见经本单位供应链业务的分管领导审核后，报公司供应链部审批。如情况复杂不能在规定时限内完成核查并作出处理的，可适当延长，并告知投诉提出人。</w:t>
      </w:r>
    </w:p>
    <w:p w14:paraId="2ECFA7F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4.投诉的回复意见须统一经公司供应链部审批后转交广东电网物资有限公司回复投诉提出人。</w:t>
      </w:r>
    </w:p>
    <w:p w14:paraId="42F998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七、异议的处理</w:t>
      </w:r>
    </w:p>
    <w:p w14:paraId="0E49CF7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（一）异议不予受理的情形</w:t>
      </w:r>
    </w:p>
    <w:p w14:paraId="2C78FFE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1.异议提出人与异议事项不存在利害关系。</w:t>
      </w:r>
    </w:p>
    <w:p w14:paraId="56CD926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2.涉及的事项不具体，且未提供有效线索，难以查证的。</w:t>
      </w:r>
    </w:p>
    <w:p w14:paraId="6F55F23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3.提供的资料未提供异议提出人的真实名称、有效联系方式、法定代表人签字和加盖单位公章的。</w:t>
      </w:r>
    </w:p>
    <w:p w14:paraId="08A748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4.超过异议提出时效的（以收到异议书日期为准；采用邮寄方式的，以邮戳日期为准）。</w:t>
      </w:r>
    </w:p>
    <w:p w14:paraId="2FCF7CB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5.已经作出处理决定，并且异议提出人没有提出新的证据的。</w:t>
      </w:r>
    </w:p>
    <w:p w14:paraId="3ADEFC2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6.缺乏事实根据或者法律依据的，或者提出人捏造事实、伪造材料或者以非法手段取得证明材料的。</w:t>
      </w:r>
    </w:p>
    <w:p w14:paraId="5184C0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7.提出的异议事项涉及保密内容，如招标评标过程具体细节、其他投标人的商业秘密或其他投标人的投标文件具体内容但未能说明内容真实性和来源合法性的。</w:t>
      </w:r>
    </w:p>
    <w:p w14:paraId="2BB0B4A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（二）异议的格式要求</w:t>
      </w:r>
    </w:p>
    <w:p w14:paraId="0ABD4E0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1.异议书中应包含异议提出人名称、联系人及联系方式、异议对象、异议事项的基本事实、相关请求及主张、有效线索和相关证明材料等信息，具体模板详见附录I。</w:t>
      </w:r>
    </w:p>
    <w:p w14:paraId="386CFB9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2.异议书必须由其法定代表人及授权代表签字并加盖单位公章；由其他利害关系人提出的异议，还需出示异议提出人与本异议事项存在利害关系的证明文件，并附有效身份证明复印件。 </w:t>
      </w:r>
    </w:p>
    <w:p w14:paraId="44043BA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异议提出人可将异议书签字盖章后，连同其它附件资料以现场递交或邮寄的方式在规定时间内提出；采用邮寄方式提出的异议，可以在规定时间内先以电子邮件方式提出，但异议书必须在电子邮件发出的当天同时寄出。</w:t>
      </w:r>
    </w:p>
    <w:p w14:paraId="138E5C3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（三）异议的受理和处理</w:t>
      </w:r>
    </w:p>
    <w:p w14:paraId="60CDA75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1.广东电网物资有限公司负责接收供应链业务异议，统一转交公司供应链部。</w:t>
      </w:r>
    </w:p>
    <w:p w14:paraId="7EBCBB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2.公司供应链部应组织核实异议提出人的身份，经审核符合受理条件的，由监督工作小组开展分析研判，根据实际情况组织分类处理：</w:t>
      </w:r>
    </w:p>
    <w:p w14:paraId="68E243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（1）异议事项涉及公司本部业务承办部门，转交承办部门组织办理。</w:t>
      </w:r>
    </w:p>
    <w:p w14:paraId="64F2BDD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（2）异议事项涉及三级单位，转交三级单位供应链管理部门组织办理。</w:t>
      </w:r>
    </w:p>
    <w:p w14:paraId="37C7A6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（3）存在转办不利于核查开展的情形，由公司供应链部自行办理。</w:t>
      </w:r>
    </w:p>
    <w:p w14:paraId="586320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公司供应链部、公司本部承办部门、三级单位供应链管理部门应组织有关部门开展集体调查、核实，并于5天内出具统一回复意见。公司本部承办部门和三级单位供应链管理部门的回复意见须经本部门领导审批，并报公司供应链部备案。如情况复杂不能在规定时限内完成核查并作出处理的，可适当延长，并告知异议提出人。</w:t>
      </w:r>
    </w:p>
    <w:p w14:paraId="521175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4.经各单位（部门）审批的异议回复意见统一转交广东电网物资有限公司回复异议提出人。</w:t>
      </w:r>
    </w:p>
    <w:p w14:paraId="5B57DA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5.公司供应链部将定期对本部承办部门和三级单位供应链管理部门的异议核查工作开展抽查。</w:t>
      </w:r>
    </w:p>
    <w:p w14:paraId="400F3C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八、投诉和异议事项移交和备案</w:t>
      </w:r>
    </w:p>
    <w:p w14:paraId="657235C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1.公司各级供应链管理部门在受理投诉和异议时，发现相关人员存在滥用职权、徇私舞弊、玩忽职守、泄露秘密等违规行为，给予或接受他人财物、好处等违法违纪行为时，应将线索移交至同级纪检监督机构。</w:t>
      </w:r>
    </w:p>
    <w:p w14:paraId="37497C8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2.公司供应链部按要求建立投诉和异议事项台账（详见附录J），实施销号式管理。</w:t>
      </w:r>
    </w:p>
    <w:p w14:paraId="202D0C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3.三级单位供应链管理部门、公司本部承办部门须每季度向公司供应链管理部报送台账信息及过程资料。</w:t>
      </w:r>
    </w:p>
    <w:p w14:paraId="5AB76DA9">
      <w:pPr>
        <w:spacing w:beforeLines="0" w:afterLines="0"/>
        <w:jc w:val="left"/>
        <w:rPr>
          <w:rFonts w:hint="eastAsia" w:ascii="微软雅黑" w:hAnsi="微软雅黑" w:eastAsia="微软雅黑"/>
          <w:sz w:val="24"/>
          <w:szCs w:val="24"/>
          <w:lang w:val="zh-CN"/>
        </w:rPr>
      </w:pPr>
    </w:p>
    <w:p w14:paraId="1CE83C67">
      <w:pPr>
        <w:spacing w:beforeLines="0" w:afterLines="0"/>
        <w:jc w:val="left"/>
        <w:rPr>
          <w:rFonts w:hint="eastAsia" w:ascii="微软雅黑" w:hAnsi="微软雅黑" w:eastAsia="微软雅黑"/>
          <w:sz w:val="24"/>
          <w:szCs w:val="24"/>
          <w:lang w:val="zh-CN"/>
        </w:rPr>
      </w:pPr>
    </w:p>
    <w:p w14:paraId="1F690497">
      <w:pPr>
        <w:spacing w:beforeLines="0" w:afterLines="0"/>
        <w:jc w:val="left"/>
        <w:rPr>
          <w:rFonts w:hint="eastAsia" w:ascii="微软雅黑" w:hAnsi="微软雅黑" w:eastAsia="微软雅黑"/>
          <w:sz w:val="24"/>
          <w:szCs w:val="24"/>
          <w:lang w:val="zh-CN"/>
        </w:rPr>
      </w:pPr>
    </w:p>
    <w:p w14:paraId="0B7C2995">
      <w:pPr>
        <w:spacing w:beforeLines="0" w:afterLines="0"/>
        <w:jc w:val="left"/>
        <w:rPr>
          <w:rFonts w:hint="eastAsia" w:ascii="微软雅黑" w:hAnsi="微软雅黑" w:eastAsia="微软雅黑"/>
          <w:sz w:val="24"/>
          <w:szCs w:val="24"/>
          <w:lang w:val="zh-CN"/>
        </w:rPr>
      </w:pPr>
    </w:p>
    <w:p w14:paraId="14D85D80">
      <w:pPr>
        <w:spacing w:beforeLines="0" w:afterLines="0"/>
        <w:jc w:val="left"/>
        <w:rPr>
          <w:rFonts w:hint="eastAsia" w:ascii="微软雅黑" w:hAnsi="微软雅黑" w:eastAsia="微软雅黑"/>
          <w:sz w:val="24"/>
          <w:szCs w:val="24"/>
          <w:lang w:val="zh-CN"/>
        </w:rPr>
      </w:pPr>
    </w:p>
    <w:p w14:paraId="578BFB3B">
      <w:pPr>
        <w:spacing w:beforeLines="0" w:afterLines="0"/>
        <w:jc w:val="left"/>
        <w:rPr>
          <w:rFonts w:hint="eastAsia" w:ascii="微软雅黑" w:hAnsi="微软雅黑" w:eastAsia="微软雅黑"/>
          <w:sz w:val="24"/>
          <w:szCs w:val="24"/>
          <w:lang w:val="zh-CN"/>
        </w:rPr>
      </w:pPr>
    </w:p>
    <w:p w14:paraId="6B01E2E5">
      <w:pPr>
        <w:spacing w:beforeLines="0" w:afterLines="0"/>
        <w:jc w:val="left"/>
        <w:rPr>
          <w:rFonts w:hint="eastAsia" w:ascii="微软雅黑" w:hAnsi="微软雅黑" w:eastAsia="微软雅黑"/>
          <w:sz w:val="24"/>
          <w:szCs w:val="24"/>
          <w:lang w:val="zh-CN"/>
        </w:rPr>
      </w:pPr>
    </w:p>
    <w:p w14:paraId="22B45FA7">
      <w:pPr>
        <w:spacing w:beforeLines="0" w:afterLines="0"/>
        <w:jc w:val="left"/>
        <w:rPr>
          <w:rFonts w:hint="eastAsia" w:ascii="微软雅黑" w:hAnsi="微软雅黑" w:eastAsia="微软雅黑"/>
          <w:sz w:val="24"/>
          <w:szCs w:val="24"/>
          <w:lang w:val="zh-CN"/>
        </w:rPr>
      </w:pPr>
    </w:p>
    <w:p w14:paraId="4AF13E4F">
      <w:pPr>
        <w:spacing w:beforeLines="0" w:afterLines="0"/>
        <w:jc w:val="left"/>
        <w:rPr>
          <w:rFonts w:hint="eastAsia" w:ascii="微软雅黑" w:hAnsi="微软雅黑" w:eastAsia="微软雅黑"/>
          <w:sz w:val="24"/>
          <w:szCs w:val="24"/>
          <w:lang w:val="zh-CN"/>
        </w:rPr>
      </w:pPr>
    </w:p>
    <w:p w14:paraId="2E240A58">
      <w:pPr>
        <w:spacing w:beforeLines="0" w:afterLines="0"/>
        <w:jc w:val="left"/>
        <w:rPr>
          <w:rFonts w:hint="eastAsia" w:ascii="微软雅黑" w:hAnsi="微软雅黑" w:eastAsia="微软雅黑"/>
          <w:sz w:val="24"/>
          <w:szCs w:val="24"/>
          <w:lang w:val="zh-CN"/>
        </w:rPr>
      </w:pPr>
    </w:p>
    <w:p w14:paraId="50F171D0">
      <w:pPr>
        <w:spacing w:beforeLines="0" w:afterLines="0"/>
        <w:jc w:val="left"/>
        <w:rPr>
          <w:rFonts w:hint="eastAsia" w:ascii="微软雅黑" w:hAnsi="微软雅黑" w:eastAsia="微软雅黑"/>
          <w:sz w:val="24"/>
          <w:szCs w:val="24"/>
          <w:lang w:val="zh-CN"/>
        </w:rPr>
      </w:pPr>
    </w:p>
    <w:p w14:paraId="0F548500">
      <w:pPr>
        <w:spacing w:beforeLines="0" w:afterLines="0"/>
        <w:jc w:val="left"/>
        <w:rPr>
          <w:rFonts w:hint="eastAsia" w:ascii="微软雅黑" w:hAnsi="微软雅黑" w:eastAsia="微软雅黑"/>
          <w:sz w:val="24"/>
          <w:szCs w:val="24"/>
          <w:lang w:val="zh-CN"/>
        </w:rPr>
      </w:pPr>
    </w:p>
    <w:p w14:paraId="2D1E2025">
      <w:pPr>
        <w:spacing w:beforeLines="0" w:afterLines="0"/>
        <w:jc w:val="left"/>
        <w:rPr>
          <w:rFonts w:hint="eastAsia" w:ascii="微软雅黑" w:hAnsi="微软雅黑" w:eastAsia="微软雅黑"/>
          <w:sz w:val="24"/>
          <w:szCs w:val="24"/>
          <w:lang w:val="zh-CN"/>
        </w:rPr>
      </w:pPr>
    </w:p>
    <w:p w14:paraId="07F116C8">
      <w:pPr>
        <w:spacing w:beforeLines="0" w:afterLines="0"/>
        <w:jc w:val="left"/>
        <w:rPr>
          <w:rFonts w:hint="eastAsia" w:ascii="微软雅黑" w:hAnsi="微软雅黑" w:eastAsia="微软雅黑"/>
          <w:sz w:val="24"/>
          <w:szCs w:val="24"/>
          <w:lang w:val="zh-CN"/>
        </w:rPr>
      </w:pPr>
    </w:p>
    <w:p w14:paraId="26E1CFC9">
      <w:pPr>
        <w:spacing w:beforeLines="0" w:afterLines="0"/>
        <w:jc w:val="left"/>
        <w:rPr>
          <w:rFonts w:hint="eastAsia" w:ascii="微软雅黑" w:hAnsi="微软雅黑" w:eastAsia="微软雅黑"/>
          <w:sz w:val="24"/>
          <w:szCs w:val="24"/>
          <w:lang w:val="zh-CN"/>
        </w:rPr>
      </w:pPr>
    </w:p>
    <w:p w14:paraId="0AD1C8D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附录H投诉书（模板）</w:t>
      </w:r>
    </w:p>
    <w:p w14:paraId="2740073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投诉提出日期： XX年XX月XX日</w:t>
      </w:r>
    </w:p>
    <w:p w14:paraId="5E09E7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填报说明：</w:t>
      </w:r>
    </w:p>
    <w:p w14:paraId="0A0D32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本表格适用于举报相关人员在供应链业务各环节（需求计划管理、采购与供应商管理、合约与品控管理、仓储与配送管理、逆向物流管理等）存在滥用职权、徇私舞弊、玩忽职守、泄露秘密等违规行为，给予或接受他人财物、好处等违法违纪行为。</w:t>
      </w:r>
    </w:p>
    <w:p w14:paraId="1AA9F04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（2）如对供应链业务各环节（需求计划管理、采购与供应商管理、合约与品控管理、仓储与配送管理、逆向物流管理等）不符合法律、法规、公司管理规定及要求等提出质疑，请按异议书模板提出诉求。</w:t>
      </w:r>
    </w:p>
    <w:p w14:paraId="48B36BE0">
      <w:pPr>
        <w:spacing w:beforeLines="0" w:afterLines="0"/>
        <w:jc w:val="left"/>
        <w:rPr>
          <w:rFonts w:hint="eastAsia" w:ascii="微软雅黑" w:hAnsi="微软雅黑" w:eastAsia="微软雅黑"/>
          <w:sz w:val="24"/>
          <w:szCs w:val="24"/>
          <w:lang w:val="zh-CN"/>
        </w:rPr>
      </w:pPr>
    </w:p>
    <w:p w14:paraId="59A96B0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附录I异议书（模板）</w:t>
      </w:r>
    </w:p>
    <w:p w14:paraId="4199F7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异议提出日期： XX年XX月XX日</w:t>
      </w:r>
    </w:p>
    <w:p w14:paraId="4F52B0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填报说明：</w:t>
      </w:r>
    </w:p>
    <w:p w14:paraId="09AE1E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（1）本表格适用于针对供应链业务各环节（需求计划管理、采购与供应商管理、合约与品控管理、仓储与配送管理、逆向物流管理等）不符合法律、法规、公司管理规定及要求等提出的异议。</w:t>
      </w:r>
    </w:p>
    <w:p w14:paraId="0D691E7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如举报相关人员在供应链业务各环节（需求计划管理、采购与供应商管理、合约与品控管理、仓储与配送管理、逆向物流管理等）存在滥用职权、徇私舞弊、玩忽职守、泄露秘密等违规行为，给予或接受他人财物、好处等违法违纪行为，请按投诉书模板提出诉求。</w:t>
      </w:r>
    </w:p>
    <w:p w14:paraId="4694937B">
      <w:pPr>
        <w:spacing w:beforeLines="0" w:afterLines="0"/>
        <w:jc w:val="left"/>
        <w:rPr>
          <w:rFonts w:hint="eastAsia" w:ascii="微软雅黑" w:hAnsi="微软雅黑" w:eastAsia="微软雅黑"/>
          <w:sz w:val="24"/>
          <w:szCs w:val="24"/>
          <w:lang w:val="zh-CN"/>
        </w:rPr>
      </w:pPr>
    </w:p>
    <w:p w14:paraId="713D9E2E">
      <w:pPr>
        <w:spacing w:beforeLines="0" w:afterLines="0"/>
        <w:jc w:val="left"/>
        <w:rPr>
          <w:rFonts w:hint="eastAsia" w:ascii="微软雅黑" w:hAnsi="微软雅黑" w:eastAsia="微软雅黑"/>
          <w:sz w:val="24"/>
          <w:szCs w:val="24"/>
          <w:lang w:val="zh-CN"/>
        </w:rPr>
      </w:pPr>
    </w:p>
    <w:p w14:paraId="68AC51E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附录J 投诉和异议台账</w:t>
      </w:r>
    </w:p>
    <w:p w14:paraId="135224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填写说明：投诉/异议涉及业务包括需求计划管理、采购与供应商管理、合约与品控管理、仓储与配送管理、逆向物流管理等。</w:t>
      </w:r>
    </w:p>
    <w:p w14:paraId="6C4A2A78">
      <w:pPr>
        <w:spacing w:beforeLines="0" w:afterLines="0"/>
        <w:jc w:val="left"/>
        <w:rPr>
          <w:rFonts w:hint="eastAsia" w:ascii="微软雅黑" w:hAnsi="微软雅黑" w:eastAsia="微软雅黑"/>
          <w:sz w:val="24"/>
          <w:szCs w:val="24"/>
          <w:lang w:val="zh-CN"/>
        </w:rPr>
      </w:pPr>
    </w:p>
    <w:p w14:paraId="60C66120">
      <w:pPr>
        <w:spacing w:beforeLines="0" w:afterLines="0"/>
        <w:jc w:val="left"/>
        <w:rPr>
          <w:rFonts w:hint="eastAsia" w:ascii="微软雅黑" w:hAnsi="微软雅黑" w:eastAsia="微软雅黑"/>
          <w:sz w:val="24"/>
          <w:szCs w:val="24"/>
          <w:lang w:val="zh-CN"/>
        </w:rPr>
      </w:pPr>
    </w:p>
    <w:p w14:paraId="2A125514"/>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9C3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2025-09-27T16:22:00Z</dcterms:created>
  <dc:creator>Laity.</dc:creator>
  <cp:lastModifiedBy>Laity.</cp:lastModifiedBy>
  <dcterms:modified xsi:type="dcterms:W3CDTF">2025-09-27T16:23:48Z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211062064D3844F3A6A2E2E5D69FE720_11</vt:lpwstr>
  </property>
  <property fmtid="{D5CDD505-2E9C-101B-9397-08002B2CF9AE}" pid="4" name="KSOTemplateDocerSaveRecord">
    <vt:lpwstr>eyJoZGlkIjoiNDY5M2U3Mjc4ODBhNTA3YjgxMmM3ODFkNTJlODY3N2QiLCJ1c2VySWQiOiIxMjMwMDgwMDY3In0=</vt:lpwstr>
  </property>
</Properties>
</file>