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3E277">
      <w:pPr>
        <w:spacing w:beforeLines="0" w:afterLines="0"/>
        <w:jc w:val="center"/>
        <w:rPr>
          <w:rFonts w:hint="eastAsia" w:ascii="微软雅黑" w:hAnsi="微软雅黑" w:eastAsia="微软雅黑"/>
          <w:sz w:val="24"/>
          <w:szCs w:val="24"/>
          <w:lang w:val="en-US" w:eastAsia="zh-CN"/>
        </w:rPr>
      </w:pPr>
      <w:r>
        <w:rPr>
          <w:rFonts w:hint="eastAsia" w:ascii="微软雅黑" w:hAnsi="微软雅黑" w:eastAsia="微软雅黑"/>
          <w:sz w:val="24"/>
          <w:szCs w:val="24"/>
          <w:lang w:val="zh-CN"/>
        </w:rPr>
        <w:t>输电线路迁改项目成本管理业务</w:t>
      </w:r>
      <w:r>
        <w:rPr>
          <w:rFonts w:hint="eastAsia" w:ascii="微软雅黑" w:hAnsi="微软雅黑" w:eastAsia="微软雅黑"/>
          <w:sz w:val="24"/>
          <w:szCs w:val="24"/>
          <w:lang w:val="en-US" w:eastAsia="zh-CN"/>
        </w:rPr>
        <w:t>细则</w:t>
      </w:r>
    </w:p>
    <w:p w14:paraId="5BA4846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（Q/CSG-GZPS2420009-2014-Y2）</w:t>
      </w:r>
      <w:bookmarkStart w:id="0" w:name="_GoBack"/>
      <w:bookmarkEnd w:id="0"/>
    </w:p>
    <w:p w14:paraId="5ADA094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业务说明</w:t>
      </w:r>
    </w:p>
    <w:p w14:paraId="1CD757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广州供电局输电线路迁改项目成本管理包括了项目成本归集管理流程和项目台账检查及转固流程两部分内容。</w:t>
      </w:r>
    </w:p>
    <w:p w14:paraId="411F652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第一，项目成本管理业务是指对建设迁改项目达到预定可使用状态前所发生的必要支出，包括发生的建筑安装费支出、设备购置费支出以及需分摊计入各固定资产价值的其他费用支出进行成本归集及会计核算；</w:t>
      </w:r>
    </w:p>
    <w:p w14:paraId="129398B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第二，迁改项目台账检查及转固业务适用于广州供电局已完工迁改项目台账检查、资产暂估、资产实增业务。</w:t>
      </w:r>
    </w:p>
    <w:p w14:paraId="7E11B42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适用范围</w:t>
      </w:r>
    </w:p>
    <w:p w14:paraId="29FEEE6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本部各部门、直属各单位、子公司。</w:t>
      </w:r>
    </w:p>
    <w:p w14:paraId="36FCE22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引用文件</w:t>
      </w:r>
    </w:p>
    <w:p w14:paraId="66E0C9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关联制度标准</w:t>
      </w:r>
    </w:p>
    <w:p w14:paraId="26B0E02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《中国南方电网有限责任公司工程财务管理办法》（Q/CSG216011-2013）</w:t>
      </w:r>
    </w:p>
    <w:p w14:paraId="252907EB">
      <w:pPr>
        <w:spacing w:beforeLines="0" w:afterLines="0"/>
        <w:jc w:val="left"/>
        <w:rPr>
          <w:rFonts w:hint="eastAsia" w:ascii="微软雅黑" w:hAnsi="微软雅黑" w:eastAsia="微软雅黑"/>
          <w:sz w:val="24"/>
          <w:szCs w:val="24"/>
          <w:lang w:val="zh-CN"/>
        </w:rPr>
      </w:pPr>
    </w:p>
    <w:p w14:paraId="0CAD3A7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关联流程</w:t>
      </w:r>
    </w:p>
    <w:p w14:paraId="2EA3A3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《广州供电局请示呈批审批流程》</w:t>
      </w:r>
    </w:p>
    <w:p w14:paraId="34F1553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《广州供电局物资出库核算流程》</w:t>
      </w:r>
    </w:p>
    <w:p w14:paraId="49A44B0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《广州供电局物资退库核算流程》</w:t>
      </w:r>
    </w:p>
    <w:p w14:paraId="42890B3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《广州供电局资金计划流程》（Q/CSG-GZPS242005-2014-L4）</w:t>
      </w:r>
    </w:p>
    <w:p w14:paraId="33A38734">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术语和定义</w:t>
      </w:r>
    </w:p>
    <w:p w14:paraId="312B2691">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迁改项目</w:t>
      </w:r>
    </w:p>
    <w:p w14:paraId="4B194C3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指外单位因合法的项目建设需要而申请出资对局管辖的原有线路进行改造或迁移。</w:t>
      </w:r>
    </w:p>
    <w:p w14:paraId="6D1E1D0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项目实施部门（单位）</w:t>
      </w:r>
    </w:p>
    <w:p w14:paraId="0214AF93">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指直接负责项目实施的单位、部门或者机构。包括输电管理所、区（市）供电局等。</w:t>
      </w:r>
    </w:p>
    <w:p w14:paraId="31124F28">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管理要点</w:t>
      </w:r>
    </w:p>
    <w:p w14:paraId="5E01DD8C">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  项目成本管理中，财务部指导、监督项目成本列支的合法性、合规性、真实性，参与项目关键节点的业务抽检，对不合规的成本列支提出整改意见，并复查整改结果。项目实施单位（部门）负责项目成本管理，监控费用变更发生数量，控制由于不恰当的变更造成的项目成本增加，及时确认真实工作量和变更量。</w:t>
      </w:r>
    </w:p>
    <w:p w14:paraId="253306EA">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5.1.1  建筑安装工程成本以施工合同和监理单位工程量确认表为依据，按照实际工程进度及工程量确认表归集成本，以合同付款条件、付款时间及相关付款条款为依据列支成本。完工验收后，项目实施部门、物流服务中心需确认施工单位已完成清点和回收拆除的设备或材料，已办理完毕工程余料退库手续。</w:t>
      </w:r>
    </w:p>
    <w:p w14:paraId="018540D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5.1.2  项目物资成本管理需按照物资入库单据、发票等确认采购成本，并以实际领用单据确认领用成本。项目完工验收后，项目实施部门（单位）、物流服务中心确认项目拆除的废旧物资回收清单，物资部门参照《广州供电局逆向物资管理实施细则》明确废旧物资处理方式，确保实物流与单据流一致。</w:t>
      </w:r>
    </w:p>
    <w:p w14:paraId="673754FB">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5.1.3  其他费用成本管理。其他费用管理均需以项目概（预）算为依据，严格按照项目概（预）算规定的项目范围、内容控制。</w:t>
      </w:r>
    </w:p>
    <w:p w14:paraId="7023CF4F">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5.2  项目台账及转固管理中，原资产停运前，项目实施部门（单位）对原运行资产进行实物清点，匹配生产运行台账及生产卡片，停运后15个工作日内执行资产拆除报废，并修改生产运行台账，财务部门在项目投产1个月内依据投产报告等资料及时办理资产估增、计提折旧等相关手续。竣工决算完成后1个月内，财务部门按竣工金额决算金额对原暂估价值进行调整。</w:t>
      </w:r>
    </w:p>
    <w:p w14:paraId="34AF351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流程步骤及说明</w:t>
      </w:r>
    </w:p>
    <w:p w14:paraId="17CE984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迁改项目成本管理流程</w:t>
      </w:r>
    </w:p>
    <w:p w14:paraId="653F9BD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流程图</w:t>
      </w:r>
    </w:p>
    <w:p w14:paraId="6603BBCD">
      <w:pPr>
        <w:spacing w:beforeLines="0" w:afterLines="0"/>
        <w:jc w:val="left"/>
        <w:rPr>
          <w:rFonts w:hint="eastAsia" w:ascii="微软雅黑" w:hAnsi="微软雅黑" w:eastAsia="微软雅黑"/>
          <w:sz w:val="24"/>
          <w:szCs w:val="24"/>
          <w:lang w:val="zh-CN"/>
        </w:rPr>
      </w:pPr>
    </w:p>
    <w:p w14:paraId="290B41D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流程说明</w:t>
      </w:r>
    </w:p>
    <w:p w14:paraId="4DB94E20">
      <w:pPr>
        <w:spacing w:beforeLines="0" w:afterLines="0"/>
        <w:jc w:val="left"/>
        <w:rPr>
          <w:rFonts w:hint="eastAsia" w:ascii="微软雅黑" w:hAnsi="微软雅黑" w:eastAsia="微软雅黑"/>
          <w:sz w:val="24"/>
          <w:szCs w:val="24"/>
          <w:lang w:val="zh-CN"/>
        </w:rPr>
      </w:pPr>
    </w:p>
    <w:p w14:paraId="696E7D62">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迁改项目台账检查及转固流程</w:t>
      </w:r>
    </w:p>
    <w:p w14:paraId="0DA84507">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流程图</w:t>
      </w:r>
    </w:p>
    <w:p w14:paraId="340E3BA9">
      <w:pPr>
        <w:spacing w:beforeLines="0" w:afterLines="0"/>
        <w:jc w:val="left"/>
        <w:rPr>
          <w:rFonts w:hint="eastAsia" w:ascii="微软雅黑" w:hAnsi="微软雅黑" w:eastAsia="微软雅黑"/>
          <w:sz w:val="24"/>
          <w:szCs w:val="24"/>
          <w:lang w:val="zh-CN"/>
        </w:rPr>
      </w:pPr>
    </w:p>
    <w:p w14:paraId="0993EBD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流程说明</w:t>
      </w:r>
    </w:p>
    <w:p w14:paraId="6E63A999">
      <w:pPr>
        <w:spacing w:beforeLines="0" w:afterLines="0"/>
        <w:jc w:val="left"/>
        <w:rPr>
          <w:rFonts w:hint="eastAsia" w:ascii="微软雅黑" w:hAnsi="微软雅黑" w:eastAsia="微软雅黑"/>
          <w:sz w:val="24"/>
          <w:szCs w:val="24"/>
          <w:lang w:val="zh-CN"/>
        </w:rPr>
      </w:pPr>
    </w:p>
    <w:p w14:paraId="7BAF60B6">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附录</w:t>
      </w:r>
    </w:p>
    <w:p w14:paraId="49DA5830">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FJ1：迁改项目成本归集业务指引</w:t>
      </w:r>
    </w:p>
    <w:p w14:paraId="2EFEBEA5">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FJ2：迁改项目成本核算会计处理指引</w:t>
      </w:r>
    </w:p>
    <w:p w14:paraId="08B192B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FJ3：迁改项目台账检查及转固会计处理指引</w:t>
      </w:r>
    </w:p>
    <w:p w14:paraId="5D7D1D24"/>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4A907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2025-09-28T00:47:00Z</dcterms:created>
  <dc:creator>Laity.</dc:creator>
  <cp:lastModifiedBy>Laity.</cp:lastModifiedBy>
  <dcterms:modified xsi:type="dcterms:W3CDTF">2025-09-28T00:57:14Z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4C972E9701824779A41148A6E2068E6C_11</vt:lpwstr>
  </property>
  <property fmtid="{D5CDD505-2E9C-101B-9397-08002B2CF9AE}" pid="4" name="KSOTemplateDocerSaveRecord">
    <vt:lpwstr>eyJoZGlkIjoiNDY5M2U3Mjc4ODBhNTA3YjgxMmM3ODFkNTJlODY3N2QiLCJ1c2VySWQiOiIxMjMwMDgwMDY3In0=</vt:lpwstr>
  </property>
</Properties>
</file>