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>
          <w:rFonts w:eastAsia="Times New Roman" w:cs="Times New Roman"/>
          <w:sz w:val="24"/>
        </w:rPr>
        <w:t>Министерство науки и высшего образования Российской Федерации</w:t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  <w:sz w:val="24"/>
        </w:rPr>
        <w:t>[Наименование образовательной организации]</w:t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  <w:sz w:val="24"/>
        </w:rPr>
        <w:t>Кафедра [наименование кафедры]</w:t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  <w:b/>
          <w:sz w:val="32"/>
        </w:rPr>
        <w:t>ПОЯСНИТЕЛЬНАЯ ЗАПИСКА</w:t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</w:rPr>
        <w:t>к курсовому проекту по дисциплине «[наименование дисциплины]»</w:t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  <w:b/>
          <w:sz w:val="32"/>
        </w:rPr>
        <w:t>ПРОЕКТ ОРГАНИЗАЦИИ СТРОИТЕЛЬСТВА</w:t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  <w:b/>
        </w:rPr>
        <w:t>9-этажного 4-секционного крупнопанельного жилого дома</w:t>
        <w:br/>
        <w:t>(типовой проект 148-037сп/1.2) в г. Норильске</w:t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</w:rPr>
        <w:t>Начало строительства — 01.12.2027. Фундамент — свайный</w:t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right"/>
        <w:rPr/>
      </w:pPr>
      <w:r>
        <w:rPr>
          <w:rFonts w:eastAsia="Times New Roman" w:cs="Times New Roman"/>
        </w:rPr>
        <w:t>Выполнил: студент группы ________   ____________________</w:t>
      </w:r>
    </w:p>
    <w:p>
      <w:pPr>
        <w:pStyle w:val="Normal"/>
        <w:ind w:hanging="0"/>
        <w:jc w:val="right"/>
        <w:rPr/>
      </w:pPr>
      <w:r>
        <w:rPr>
          <w:rFonts w:eastAsia="Times New Roman" w:cs="Times New Roman"/>
        </w:rPr>
        <w:t>Проверил: ____________________   ____________________</w:t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</w:rPr>
        <w:t>г. ____________ — 2026</w:t>
      </w:r>
      <w:r>
        <w:br w:type="page"/>
      </w:r>
    </w:p>
    <w:p>
      <w:pPr>
        <w:pStyle w:val="Normal"/>
        <w:spacing w:before="0" w:after="120"/>
        <w:ind w:hanging="0"/>
        <w:jc w:val="center"/>
        <w:rPr/>
      </w:pPr>
      <w:r>
        <w:rPr>
          <w:rFonts w:eastAsia="Times New Roman" w:cs="Times New Roman"/>
          <w:b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1507_1443700011">
            <w:r>
              <w:rPr>
                <w:webHidden/>
                <w:rStyle w:val="IndexLink"/>
              </w:rPr>
              <w:t>ВВЕДЕНИЕ. ИСХОДНЫЕ ДАННЫЕ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09_1443700011">
            <w:r>
              <w:rPr>
                <w:webHidden/>
                <w:rStyle w:val="IndexLink"/>
              </w:rPr>
              <w:t>1 Характеристика района по месту расположения объекта капитального строительства и условий строительства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11_1443700011">
            <w:r>
              <w:rPr>
                <w:webHidden/>
                <w:rStyle w:val="IndexLink"/>
              </w:rPr>
              <w:t>1.1 Местоположение и рельеф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13_1443700011">
            <w:r>
              <w:rPr>
                <w:webHidden/>
                <w:rStyle w:val="IndexLink"/>
              </w:rPr>
              <w:t>1.2 Климат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15_1443700011">
            <w:r>
              <w:rPr>
                <w:webHidden/>
                <w:rStyle w:val="IndexLink"/>
              </w:rPr>
              <w:t>1.3 Геологическое строение и мерзлотные условия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17_1443700011">
            <w:r>
              <w:rPr>
                <w:webHidden/>
                <w:rStyle w:val="IndexLink"/>
              </w:rPr>
              <w:t>1.4 Гидрологические условия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19_1443700011">
            <w:r>
              <w:rPr>
                <w:webHidden/>
                <w:rStyle w:val="IndexLink"/>
              </w:rPr>
              <w:t>1.5 Условия строительства</w:t>
              <w:tab/>
              <w:t>13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21_1443700011">
            <w:r>
              <w:rPr>
                <w:webHidden/>
                <w:rStyle w:val="IndexLink"/>
              </w:rPr>
              <w:t>2 Оценка развитости транспортной инфраструктуры</w:t>
              <w:tab/>
              <w:t>13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23_1443700011">
            <w:r>
              <w:rPr>
                <w:webHidden/>
                <w:rStyle w:val="IndexLink"/>
              </w:rPr>
              <w:t>3 Сведения о возможности использования местной рабочей силы при осуществлении строительства</w:t>
              <w:tab/>
              <w:t>16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25_1443700011">
            <w:r>
              <w:rPr>
                <w:webHidden/>
                <w:rStyle w:val="IndexLink"/>
              </w:rPr>
              <w:t>4 Перечень мероприятий по привлечению для осуществления строительства квалифицированных специалистов, в том числе для выполнения работ вахтовым методом</w:t>
              <w:tab/>
              <w:t>17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27_1443700011">
            <w:r>
              <w:rPr>
                <w:webHidden/>
                <w:rStyle w:val="IndexLink"/>
              </w:rPr>
              <w:t>5 Характеристика земельного участка, предоставленного для строительства, обоснование необходимости использования земельных участков вне земельного участка, предоставляемого для строительства объекта капитального строительства</w:t>
              <w:tab/>
              <w:t>18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29_1443700011">
            <w:r>
              <w:rPr>
                <w:webHidden/>
                <w:rStyle w:val="IndexLink"/>
              </w:rPr>
              <w:t>6 Описание особенностей проведения работ в условиях действующего предприятия, в местах расположения подземных коммуникаций, линий электропередачи и связи – для объектов производственного назначения</w:t>
              <w:tab/>
              <w:t>20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31_1443700011">
            <w:r>
              <w:rPr>
                <w:webHidden/>
                <w:rStyle w:val="IndexLink"/>
              </w:rPr>
              <w:t>7 Описание особенностей проведения работ в условиях стеснённой городской застройки, в местах расположения подземных коммуникаций, линий электропередачи и связи – для объектов непроизводственного назначения</w:t>
              <w:tab/>
              <w:t>20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33_1443700011">
            <w:r>
              <w:rPr>
                <w:webHidden/>
                <w:rStyle w:val="IndexLink"/>
              </w:rPr>
              <w:t>8 Обоснование принятой организационно-технологической схемы, определяющей последовательность возведения зданий и сооружений, инженерных и транспортных коммуникаций, обеспечивающей соблюдение установленных в календарном плане строительства сроков завершения строительства (его этапов)</w:t>
              <w:tab/>
              <w:t>22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35_1443700011">
            <w:r>
              <w:rPr>
                <w:webHidden/>
                <w:rStyle w:val="IndexLink"/>
              </w:rPr>
              <w:t>9 Перечень видов строительных и монтажных работ, ответственных конструкций, участков сетей инженерно-технического обеспечения, подлежащих освидетельствованию с составлением соответствующих актов приёмки перед производством последующих работ и устройством последующих конструкций</w:t>
              <w:tab/>
              <w:t>24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37_1443700011">
            <w:r>
              <w:rPr>
                <w:webHidden/>
                <w:rStyle w:val="IndexLink"/>
              </w:rPr>
              <w:t>10 Технологическая последовательность работ при возведении объекта капитального строительства или его отдельных элементов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39_1443700011">
            <w:r>
              <w:rPr>
                <w:webHidden/>
                <w:rStyle w:val="IndexLink"/>
              </w:rPr>
              <w:t>10.1 Подготовительный период (01.12.2027 – 18.02.2028)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41_1443700011">
            <w:r>
              <w:rPr>
                <w:webHidden/>
                <w:rStyle w:val="IndexLink"/>
              </w:rPr>
              <w:t>10.2 Подземная часть (13.12.2027 – 15.03.2028)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43_1443700011">
            <w:r>
              <w:rPr>
                <w:webHidden/>
                <w:rStyle w:val="IndexLink"/>
              </w:rPr>
              <w:t>10.3 Надземная часть (21.02.2028 – 20.06.2028)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45_1443700011">
            <w:r>
              <w:rPr>
                <w:webHidden/>
                <w:rStyle w:val="IndexLink"/>
              </w:rPr>
              <w:t>10.4 Специальные работы (01.03.2028 – 10.08.2028)</w:t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47_1443700011">
            <w:r>
              <w:rPr>
                <w:webHidden/>
                <w:rStyle w:val="IndexLink"/>
              </w:rPr>
              <w:t>10.5 Отделочные работы (03.04.2028 – 25.08.2028)</w:t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49_1443700011">
            <w:r>
              <w:rPr>
                <w:webHidden/>
                <w:rStyle w:val="IndexLink"/>
              </w:rPr>
              <w:t>10.6 Наружные сети, благоустройство, сдача объекта (13.06.2028 – 31.08.2028)</w:t>
              <w:tab/>
              <w:t>29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51_1443700011">
            <w:r>
              <w:rPr>
                <w:webHidden/>
                <w:rStyle w:val="IndexLink"/>
              </w:rPr>
              <w:t>11 Обоснование потребности строительства в кадрах, основных строительных машинах, механизмах, транспортных средствах, в топливе и горюче-смазочных материалах, а также в электрической энергии, паре, воде, временных зданиях и сооружениях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53_1443700011">
            <w:r>
              <w:rPr>
                <w:webHidden/>
                <w:rStyle w:val="IndexLink"/>
              </w:rPr>
              <w:t>11.1 Потребность в кадрах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55_1443700011">
            <w:r>
              <w:rPr>
                <w:webHidden/>
                <w:rStyle w:val="IndexLink"/>
              </w:rPr>
              <w:t>11.2 Потребность в основных строительных машинах, механизмах и транспортных средствах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57_1443700011">
            <w:r>
              <w:rPr>
                <w:webHidden/>
                <w:rStyle w:val="IndexLink"/>
              </w:rPr>
              <w:t>11.3 Потребность в топливе и горюче-смазочных материалах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59_1443700011">
            <w:r>
              <w:rPr>
                <w:webHidden/>
                <w:rStyle w:val="IndexLink"/>
              </w:rPr>
              <w:t>11.4 Потребность в электрической энергии</w:t>
              <w:tab/>
              <w:t>36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61_1443700011">
            <w:r>
              <w:rPr>
                <w:webHidden/>
                <w:rStyle w:val="IndexLink"/>
              </w:rPr>
              <w:t>11.5 Потребность в воде</w:t>
              <w:tab/>
              <w:t>37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63_1443700011">
            <w:r>
              <w:rPr>
                <w:webHidden/>
                <w:rStyle w:val="IndexLink"/>
              </w:rPr>
              <w:t>11.6 Потребность в тепле и паре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65_1443700011">
            <w:r>
              <w:rPr>
                <w:webHidden/>
                <w:rStyle w:val="IndexLink"/>
              </w:rPr>
              <w:t>11.7 Потребность в сжатом воздухе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67_1443700011">
            <w:r>
              <w:rPr>
                <w:webHidden/>
                <w:rStyle w:val="IndexLink"/>
              </w:rPr>
              <w:t>11.8 Потребность во временных зданиях и сооружениях</w:t>
              <w:tab/>
              <w:t>40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69_1443700011">
            <w:r>
              <w:rPr>
                <w:webHidden/>
                <w:rStyle w:val="IndexLink"/>
              </w:rPr>
              <w:t>12 Обоснование размеров и оснащения площадок для складирования материалов, конструкций, оборудования, укрупнённых модулей и стендов для их сборки. Решения по перемещению тяжеловесного негабаритного оборудования, укрупнённых модулей и строительных конструкций</w:t>
              <w:tab/>
              <w:t>41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71_1443700011">
            <w:r>
              <w:rPr>
                <w:webHidden/>
                <w:rStyle w:val="IndexLink"/>
              </w:rPr>
              <w:t>13 Предложения по обеспечению контроля качества строительных и монтажных работ, а также поставляемых на площадку и монтируемых оборудования, конструкций и материалов</w:t>
              <w:tab/>
              <w:t>43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73_1443700011">
            <w:r>
              <w:rPr>
                <w:webHidden/>
                <w:rStyle w:val="IndexLink"/>
              </w:rPr>
              <w:t>14 Предложения по организации службы геодезического и лабораторного контроля</w:t>
              <w:tab/>
              <w:t>44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75_1443700011">
            <w:r>
              <w:rPr>
                <w:webHidden/>
                <w:rStyle w:val="IndexLink"/>
              </w:rPr>
              <w:t>15 Перечень требований, которые должны быть учтены в рабочей документации, разрабатываемой на основании проектной документации, в связи с принятыми методами возведения строительных конструкций и монтажа оборудования</w:t>
              <w:tab/>
              <w:t>46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77_1443700011">
            <w:r>
              <w:rPr>
                <w:webHidden/>
                <w:rStyle w:val="IndexLink"/>
              </w:rPr>
              <w:t>16 Обоснование потребности в жилье и социально-бытовом обслуживании персонала, участвующего в строительстве</w:t>
              <w:tab/>
              <w:t>47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79_1443700011">
            <w:r>
              <w:rPr>
                <w:webHidden/>
                <w:rStyle w:val="IndexLink"/>
              </w:rPr>
              <w:t>17 Перечень мероприятий и проектных решений по определению технических средств и методов работы, обеспечивающих выполнение нормативных требований охраны труда</w:t>
              <w:tab/>
              <w:t>48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81_1443700011">
            <w:r>
              <w:rPr>
                <w:webHidden/>
                <w:rStyle w:val="IndexLink"/>
              </w:rPr>
              <w:t>17.1 Организационные мероприятия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83_1443700011">
            <w:r>
              <w:rPr>
                <w:webHidden/>
                <w:rStyle w:val="IndexLink"/>
              </w:rPr>
              <w:t>17.2 Опасные зоны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11585_1443700011">
            <w:r>
              <w:rPr>
                <w:webHidden/>
                <w:rStyle w:val="IndexLink"/>
              </w:rPr>
              <w:t>17.3 Технические средства и методы работ</w:t>
              <w:tab/>
              <w:t>50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87_1443700011">
            <w:r>
              <w:rPr>
                <w:webHidden/>
                <w:rStyle w:val="IndexLink"/>
              </w:rPr>
              <w:t>18 Описание проектных решений и мероприятий по охране окружающей среды в период строительства</w:t>
              <w:tab/>
              <w:t>51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89_1443700011">
            <w:r>
              <w:rPr>
                <w:webHidden/>
                <w:rStyle w:val="IndexLink"/>
              </w:rPr>
              <w:t>19 Описание проектных решений и мероприятий по охране объектов в период строительства</w:t>
              <w:tab/>
              <w:t>52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91_1443700011">
            <w:r>
              <w:rPr>
                <w:webHidden/>
                <w:rStyle w:val="IndexLink"/>
              </w:rPr>
              <w:t>20 Обоснование принятой продолжительности строительства объекта капитального строительства и его отдельных этапов</w:t>
              <w:tab/>
              <w:t>53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93_1443700011">
            <w:r>
              <w:rPr>
                <w:webHidden/>
                <w:rStyle w:val="IndexLink"/>
              </w:rPr>
              <w:t>21 Перечень мероприятий по организации мониторинга за состоянием зданий и сооружений, расположенных в непосредственной близости от строящегося объекта, земляные, строительные, монтажные и иные работы на котором могут повлиять на техническое состояние и надёжность таких зданий и сооружений</w:t>
              <w:tab/>
              <w:t>56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95_1443700011">
            <w:r>
              <w:rPr>
                <w:webHidden/>
                <w:rStyle w:val="IndexLink"/>
              </w:rPr>
              <w:t>ТЕХНИКО-ЭКОНОМИЧЕСКИЕ ПОКАЗАТЕЛИ ПОС</w:t>
              <w:tab/>
              <w:t>58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97_1443700011">
            <w:r>
              <w:rPr>
                <w:webHidden/>
                <w:rStyle w:val="IndexLink"/>
              </w:rPr>
              <w:t>СПИСОК ИСПОЛЬЗОВАННЫХ ИСТОЧНИКОВ</w:t>
              <w:tab/>
              <w:t>59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599_1443700011">
            <w:r>
              <w:rPr>
                <w:webHidden/>
                <w:rStyle w:val="IndexLink"/>
              </w:rPr>
              <w:t>ПРИЛОЖЕНИЕ А (обязательное) Календарный план строительства и график движения рабочих кадров</w:t>
              <w:tab/>
              <w:t>62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11601_1443700011">
            <w:r>
              <w:rPr>
                <w:webHidden/>
                <w:rStyle w:val="IndexLink"/>
              </w:rPr>
              <w:t>ПРИЛОЖЕНИЕ Б (обязательное) Строительный генеральный план на период возведения надземной части (схема)</w:t>
              <w:tab/>
              <w:t>65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ind w:hanging="0"/>
        <w:jc w:val="center"/>
        <w:rPr/>
      </w:pPr>
      <w:r>
        <w:br w:type="page"/>
      </w:r>
      <w:bookmarkStart w:id="0" w:name="__RefHeading___Toc11507_1443700011"/>
      <w:bookmarkEnd w:id="0"/>
      <w:r>
        <w:rPr>
          <w:rFonts w:eastAsia="Times New Roman" w:cs="Times New Roman"/>
        </w:rPr>
        <w:t>ВВЕДЕНИЕ. ИСХОДНЫЕ ДАННЫЕ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Настоящая пояснительная записка содержит проект организации строительства (ПОС) 9-этажного 4-секционного крупнопанельного жилого дома из блок-секций типового проекта 148-037сп/1.2 в г. Норильске Красноярского края. Состав и содержание разделов приняты по заданию на курсовое проектирование, которое соответствует требованиям к разделу 6 «Проект организации строительства» Положения о составе разделов проектной документации и требованиях к их содержанию (утв. постановлением Правительства РФ от 16.02.2008 № 87) и МДС 12-81.2007. Продолжительность строительства определена по МДС 12-43.2008 «Нормирование продолжительности строительства зданий и сооружений».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Исходные данные варианта приведены в таблице 1.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1 – Исходные данные варианта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6"/>
        <w:gridCol w:w="2836"/>
        <w:gridCol w:w="5953"/>
      </w:tblGrid>
      <w:tr>
        <w:trPr>
          <w:tblHeader w:val="true"/>
        </w:trPr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№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1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Типовой проект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148-037сп/1.2 — блок-секция 9-этажная 18-квартирная с двойным поворотом прямая 4Б–4Б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Количество секций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3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Район строительства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г. Норильск (Красноярский край) — район Крайнего Севера, Арктическая зона РФ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4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Начало строительства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01.12.2027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5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Дополнительные условия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свайный фундамент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  <w:b/>
        </w:rPr>
        <w:t>Характеристика объекта по типовому проекту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Типовой проект 148-037сп/1.2 разработан ТашЗНИИЭП (г. Ташкент), утверждён Госстроем УзССР 24.08.1978 (приказ № 160), введён в действие в 1982 г. и опубликован в Строительном каталоге (ч. 2, ЦИТП, 1983). Блок-секция — 9-этажная, 18-квартирная (одна трёхкомнатная квартира типа 3Б и 17 четырёхкомнатных типа 4Б, по две квартиры на этаже), с техническим подпольем и холодным чердаком. Размеры секции в осях — 27,6 × 10,8 м (основной объём в осях 2с–8с — 19,8 м, торцевые части с поворотными террасами), высота этажа — 3,0 м, отметка верха основного объёма +26,750, верха машинного помещения лифта +31,530, планировочная отметка земли −1,100.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Конструктивная схема — с поперечными и продольными несущими стенами, панели перекрытий оперты по контуру. Основные конструкции по типовому проекту: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фундаменты — монолитная железобетонная плита с перекрёстными рёбрами (рассчитана на сейсмичность 9 баллов и просадочные грунты II типа);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наружные стены — двухслойные панели: внутренний несущий слой из тяжёлого бетона 160 мм, наружный — из керамзитобетона 190 мм (4 типоразмера);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внутренние стены — сборные железобетонные панели толщиной 220 и 160 мм (5 типоразмеров); перекрытия — сборные железобетонные панели толщиной 160 мм (8 типоразмеров);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перегородки — железобетонные панели толщиной 60 мм; санузлы — объёмные санкабины типа «Колпак»;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лестницы — сборные железобетонные марши и площадки; шахта лифта — железобетонные блоки (серия 1.189-3);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покрытие — ребристые панели и предварительно напряжённые водосборные лотки; крыша с холодным чердаком, безрулонными кровельными панелями и внутренним водостоком;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окна и балконные двери — со спаренными переплётами (серия 1.136.5-16); двери — по сериям 1.136-10, 1.136-11; полы — паркет, линолеум, керамическая плитка, цементная стяжка;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инженерное оборудование — центральное водяное отопление, хозяйственно-питьевой водопровод, канализация, горячее водоснабжение от внешней сети, газовые плиты, электроснабжение 380/220 В, пассажирский лифт грузоподъёмностью 320 кг, мусоропровод.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Наибольшая масса монтажного элемента — 7,76 т (панель перекрытия). Технико-экономические показатели блок-секции и дома в целом приведены в таблице 2.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2 – Технико-экономические показатели типового проекта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1"/>
        <w:gridCol w:w="1247"/>
        <w:gridCol w:w="1928"/>
        <w:gridCol w:w="1928"/>
      </w:tblGrid>
      <w:tr>
        <w:trPr>
          <w:tblHeader w:val="true"/>
        </w:trPr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Ед. изм.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Блок-секция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Дом (4 секции)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Этажность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эт.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Количество квартир (3Б / 4Б)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шт.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18 (1 / 17)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72 (4 / 68)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Площадь застройки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м²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289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1 156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Общая площадь квартир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м²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1 406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5 624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Жилая площадь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м²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949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3 796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Приведённая общая площадь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м²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1 553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6 212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Площадь летних помещений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м²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402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1 608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Площадь внеквартирных помещений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м²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246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984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Строительный объём,</w:t>
            </w:r>
          </w:p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в т. ч. подземной части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м³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6 448</w:t>
            </w:r>
          </w:p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107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25 792</w:t>
            </w:r>
          </w:p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428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Сметная стоимость (цены 1984 г.),</w:t>
            </w:r>
          </w:p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в т. ч. СМР / оборудование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тыс. руб.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230</w:t>
            </w:r>
          </w:p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224 / 6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920</w:t>
            </w:r>
          </w:p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896 / 24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Построечные трудозатраты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чел.-дн.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3 536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14 144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Цемент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т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543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2 172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Сталь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т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101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404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Бетон и железобетон,</w:t>
            </w:r>
          </w:p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в т. ч. сборный / монолитный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м³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1 911</w:t>
            </w:r>
          </w:p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1 488 / 423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7 644</w:t>
            </w:r>
          </w:p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5 952 / 1 692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Лесоматериалы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м³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121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484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Масса конструкций и материалов,</w:t>
            </w:r>
          </w:p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в т. ч. надземной части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т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4 640</w:t>
            </w:r>
          </w:p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3 780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18 560</w:t>
            </w:r>
          </w:p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15 120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Размеры в осях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27,6 × 10,8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110,4 × 10,8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  <w:b/>
        </w:rPr>
        <w:t>Привязка типового проекта к условиям г. Норильска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Типовой проект разработан для г. Ташкента (климатический подрайон IVГ, расчётная температура наружного воздуха −15 °С, снеговая нагрузка 0,49 кПа, сейсмичность 9 баллов, просадочные грунты). Для строительства в г. Норильске проектом привязки предусматриваются (учтено в ПОС):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замена фундаментной плиты свайным фундаментом из буроопускных железобетонных свай с монолитным ростверком и проветриваемым подпольем; основание используется по принципу I — с сохранением многолетнемёрзлого состояния грунтов в период строительства и эксплуатации (СП 25.13330.2020);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теплотехнический пересчёт ограждающих конструкций на расчётную температуру −46 °С: двухслойные керамзитобетонные панели заменяются трёхслойными с эффективным утеплителем, утепляются цокольное и чердачное перекрытия, окна — с двухкамерными стеклопакетами;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пересчёт конструкций на снеговую нагрузку V района (2,41 кПа) и ветровую нагрузку IV района (0,48 кПа); исключение антисейсмических мероприятий;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замена газовых плит электрическими (жилой фонд г. Норильска газом не снабжается) с увеличением расчётной электрической нагрузки дома;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лифты — по ТР ТС 011/2011; входы — с двойными утеплёнными тамбурами; воронки внутреннего водостока — с электрообогревом.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Дом образован блокировкой четырёх блок-секций; для расчётов принята прямолинейная компоновка длиной 110,4 м в осях при ширине 10,8 м. Количество квартир — 72, общая площадь квартир — 5 624 м², строительный объём — 25 792 м³. Высота здания от планировочной отметки до верха основного объёма — 27,85 м, до верха машинного помещения — 32,63 м.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  <w:b/>
        </w:rPr>
        <w:t>Свайный фундамент (дополнительное условие варианта)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До выполнения проекта привязки конструкция фундамента принята ориентировочно: буроопускные железобетонные сваи сечением 35 × 35 см длиной 12 м, погружаемые в скважины диаметром 550 мм глубиной 10,8 м с заполнением пазух цементно-песчаным раствором; оголовки свай выступают над спланированной поверхностью на 1,2 м (проветриваемое подполье); по оголовкам — монолитный железобетонный ростверк сечением 0,6 × 0,8 м по осям несущих стен общей длиной 159 м на секцию. Количество свай определено из условия восприятия нагрузки от здания (таблица 3).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3 – Ориентировочный расчёт количества свай на одну блок-секцию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5"/>
        <w:gridCol w:w="2949"/>
        <w:gridCol w:w="1701"/>
      </w:tblGrid>
      <w:tr>
        <w:trPr>
          <w:tblHeader w:val="true"/>
        </w:trPr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294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Обозначение, формула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Вес надземной части (3 780 т)</w:t>
            </w:r>
          </w:p>
        </w:tc>
        <w:tc>
          <w:tcPr>
            <w:tcW w:w="294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G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н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37 082 кН</w:t>
            </w:r>
          </w:p>
        </w:tc>
      </w:tr>
      <w:tr>
        <w:trPr/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Вес ростверка и цокольных конструкций (300 т)</w:t>
            </w:r>
          </w:p>
        </w:tc>
        <w:tc>
          <w:tcPr>
            <w:tcW w:w="294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G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п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2 943 кН</w:t>
            </w:r>
          </w:p>
        </w:tc>
      </w:tr>
      <w:tr>
        <w:trPr/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Полезная нагрузка на перекрытия 1,5 кПа × (1 406 + 246) м² × ψ (ψ = 0,6)</w:t>
            </w:r>
          </w:p>
        </w:tc>
        <w:tc>
          <w:tcPr>
            <w:tcW w:w="294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P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пол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1 487 кН</w:t>
            </w:r>
          </w:p>
        </w:tc>
      </w:tr>
      <w:tr>
        <w:trPr/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Снеговая нагрузка 2,41 кПа × 289 м²</w:t>
            </w:r>
          </w:p>
        </w:tc>
        <w:tc>
          <w:tcPr>
            <w:tcW w:w="294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P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сн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696 кН</w:t>
            </w:r>
          </w:p>
        </w:tc>
      </w:tr>
      <w:tr>
        <w:trPr/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Нормативная нагрузка</w:t>
            </w:r>
          </w:p>
        </w:tc>
        <w:tc>
          <w:tcPr>
            <w:tcW w:w="294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N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н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= G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н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+ G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п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+ P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пол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+ P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сн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42 208 кН</w:t>
            </w:r>
          </w:p>
        </w:tc>
      </w:tr>
      <w:tr>
        <w:trPr/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Расчётная нагрузка (γ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f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= 1,15)</w:t>
            </w:r>
          </w:p>
        </w:tc>
        <w:tc>
          <w:tcPr>
            <w:tcW w:w="294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N = N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н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·γ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f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48 539 кН</w:t>
            </w:r>
          </w:p>
        </w:tc>
      </w:tr>
      <w:tr>
        <w:trPr/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Допускаемая расчётная нагрузка на сваю (принята)</w:t>
            </w:r>
          </w:p>
        </w:tc>
        <w:tc>
          <w:tcPr>
            <w:tcW w:w="294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N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св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600 кН</w:t>
            </w:r>
          </w:p>
        </w:tc>
      </w:tr>
      <w:tr>
        <w:trPr/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Коэффициент неравномерности передачи нагрузки</w:t>
            </w:r>
          </w:p>
        </w:tc>
        <w:tc>
          <w:tcPr>
            <w:tcW w:w="294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k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1,08</w:t>
            </w:r>
          </w:p>
        </w:tc>
      </w:tr>
      <w:tr>
        <w:trPr/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Требуемое количество свай</w:t>
            </w:r>
          </w:p>
        </w:tc>
        <w:tc>
          <w:tcPr>
            <w:tcW w:w="294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n = N·k / N</w:t>
            </w:r>
            <w:r>
              <w:rPr>
                <w:rFonts w:eastAsia="Times New Roman" w:cs="Times New Roman"/>
                <w:kern w:val="0"/>
                <w:sz w:val="22"/>
                <w:szCs w:val="22"/>
                <w:vertAlign w:val="subscript"/>
                <w:lang w:val="en-US" w:eastAsia="en-US" w:bidi="ar-SA"/>
              </w:rPr>
              <w:t>св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87,4 → 88 шт.</w:t>
            </w:r>
          </w:p>
        </w:tc>
      </w:tr>
      <w:tr>
        <w:trPr/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Средний шаг свай по ростверку (L = 159 м)</w:t>
            </w:r>
          </w:p>
        </w:tc>
        <w:tc>
          <w:tcPr>
            <w:tcW w:w="294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a = L / n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1,81 м &gt; 3d = 1,05 м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На дом — 352 сваи. Объёмы свайных работ: сваи — 517 м³ (масса сваи 3,67 т); бурение скважин — 3 802 м (903 м³ мёрзлого грунта); раствор для заполнения пазух — 437 м³; монолитный ростверк — 305 м³ бетона, 30,5 т арматуры, 1 399 м² опалубки. Допускаемая нагрузка и длина свай уточняются расчётом по СП 25.13330.2020 по данным инженерно-геокриологических изысканий и по результатам статических испытаний свай (ГОСТ 5686-2020).</w:t>
      </w:r>
      <w:r>
        <w:br w:type="page"/>
      </w:r>
    </w:p>
    <w:p>
      <w:pPr>
        <w:pStyle w:val="Heading1"/>
        <w:rPr/>
      </w:pPr>
      <w:bookmarkStart w:id="1" w:name="__RefHeading___Toc11509_1443700011"/>
      <w:bookmarkEnd w:id="1"/>
      <w:r>
        <w:rPr>
          <w:rFonts w:eastAsia="Times New Roman" w:cs="Times New Roman"/>
        </w:rPr>
        <w:t>1 Характеристика района по месту расположения объекта капитального строительства и условий строительства</w:t>
      </w:r>
    </w:p>
    <w:p>
      <w:pPr>
        <w:pStyle w:val="Heading2"/>
        <w:rPr/>
      </w:pPr>
      <w:bookmarkStart w:id="2" w:name="__RefHeading___Toc11511_1443700011"/>
      <w:bookmarkEnd w:id="2"/>
      <w:r>
        <w:rPr>
          <w:rFonts w:eastAsia="Times New Roman" w:cs="Times New Roman"/>
        </w:rPr>
        <w:t>1.1 Местоположение и рельеф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Город Норильск расположен на севере Красноярского края, в юго-западной части полуострова Таймыр, примерно в 300 км севернее Северного полярного круга (69°20′ с. ш., 88°13′ в. д.) и в 90 км к востоку от р. Енисей (порт Дудинка). Территория относится к районам Крайнего Севера и входит в Арктическую зону Российской Федерации. Город (население около 175 тыс. чел.) расположен на Норильской равнине у западных отрогов плато Путорана; абсолютные отметки поверхности — 90–150 м. Рельеф территории застройки — равнинный, слабонаклонный, спланированный подсыпкой; к окраинам переходит в холмисто-увалистый (горы Шмидтиха, Рудная).</w:t>
      </w:r>
    </w:p>
    <w:p>
      <w:pPr>
        <w:pStyle w:val="Heading2"/>
        <w:rPr/>
      </w:pPr>
      <w:bookmarkStart w:id="3" w:name="__RefHeading___Toc11513_1443700011"/>
      <w:bookmarkEnd w:id="3"/>
      <w:r>
        <w:rPr>
          <w:rFonts w:eastAsia="Times New Roman" w:cs="Times New Roman"/>
        </w:rPr>
        <w:t>1.2 Климат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Климат — субарктический, резко континентальный: продолжительная суровая зима (период устойчивых морозов — около 280 сут), короткое прохладное лето, сильные ветры и частые метели. С конца ноября до середины января продолжается полярная ночь (около 45 сут), с конца мая до конца июля — полярный день. Основные климатические характеристики приведены в таблице 4.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4 – Климатические характеристики района строительства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236"/>
        <w:gridCol w:w="3117"/>
      </w:tblGrid>
      <w:tr>
        <w:trPr>
          <w:tblHeader w:val="true"/>
        </w:trPr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Характеристика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Климатический район для строительства (СП 131.13330)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I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Температура наиболее холодной пятидневки обеспеченностью 0,92 / 0,98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−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46 / −47 °С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Абсолютная минимальная температура воздуха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−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53,1 °С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Средняя температура января / июля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около −27,6 / +13,8 °С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Среднегодовая температура воздуха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−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9,8 °С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Продолжительность периода устойчивых морозов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280 сут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Продолжительность отопительного периода (фактическая)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282–283 сут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Продолжительность залегания снежного покрова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7,5–9 мес (октябрь — начало июня)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Число дней с метелями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более 130 в год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Снеговой район; нормативный вес снегового покрова (СП 20.13330.2016, табл. К.1)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V; 2,41 кПа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Ветровой район; нормативное давление ветра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IV; 0,48 кПа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Полярная ночь / полярный день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30.11–13.01 / ≈ 20.05–24.07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Сейсмичность (по картам ОСР-2015, уточняется по СП 14.13330)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менее 6 баллов</w:t>
            </w:r>
          </w:p>
        </w:tc>
      </w:tr>
      <w:tr>
        <w:trPr/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Многолетнемёрзлые грунты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сплошного распространения, мощность до 300–500 м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  <w:sz w:val="24"/>
        </w:rPr>
        <w:t>Температуры приняты по Справочному пособию к СНиП 2.01.01-82 и многолетним данным метеостанции Норильск; при выпуске проекта они уточняются по таблицам действующей редакции СП 131.13330 «Строительная климатология».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Для организации строительства существенны: начало работ в период полярной ночи и наиболее низких температур (декабрь–февраль), необходимость искусственного освещения в течение всей смены, частые перерывы работ на открытом воздухе по метеоусловиям («актированные дни»), снегоперенос и снегозаносы площадки, короткий тёплый период (июль–август) для наружных сетей и благоустройства.</w:t>
      </w:r>
    </w:p>
    <w:p>
      <w:pPr>
        <w:pStyle w:val="Heading2"/>
        <w:rPr/>
      </w:pPr>
      <w:bookmarkStart w:id="4" w:name="__RefHeading___Toc11515_1443700011"/>
      <w:bookmarkEnd w:id="4"/>
      <w:r>
        <w:rPr>
          <w:rFonts w:eastAsia="Times New Roman" w:cs="Times New Roman"/>
        </w:rPr>
        <w:t>1.3 Геологическое строение и мерзлотные условия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Район расположен в зоне сплошного распространения многолетнемёрзлых грунтов (ММГ) мощностью до 300–500 м с отдельными таликами под руслами рек и озёрами. В пределах городской застройки распространены высокотемпературные мёрзлые грунты с температурой на глубине нулевых годовых амплитуд около −0,5…−3 °С, что повышает их чувствительность к тепловому воздействию сооружений. Разрез площадки принят условно до получения изысканий: с поверхности — техногенные насыпные крупнообломочные грунты мощностью 1,0–1,5 м; далее — суглинки и супеси пластичномёрзлые и твёрдомёрзлые, льдистые, с включениями щебня, местами торф; ниже 8–12 м — крупнообломочные (моренные) отложения и коренные породы (базальты, долериты трапповой формации). Глубина сезонного оттаивания — 0,5–2,0 м. Характерные криогенные процессы — морозное пучение в слое сезонного оттаивания, термокарст и осадки при оттаивании льдистых грунтов.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Основание используется по принципу I (СП 25.13330.2020) — с сохранением мёрзлого состояния грунтов, поэтому ПОС предусматривает мероприятия, исключающие тепловое воздействие на основание в период строительства (разделы 15 и 18).</w:t>
      </w:r>
    </w:p>
    <w:p>
      <w:pPr>
        <w:pStyle w:val="Heading2"/>
        <w:rPr/>
      </w:pPr>
      <w:bookmarkStart w:id="5" w:name="__RefHeading___Toc11517_1443700011"/>
      <w:bookmarkEnd w:id="5"/>
      <w:r>
        <w:rPr>
          <w:rFonts w:eastAsia="Times New Roman" w:cs="Times New Roman"/>
        </w:rPr>
        <w:t>1.4 Гидрологические условия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Поверхностные воды — р. Норилка, оз. Долгое и многочисленные мелкие озёра; паводок — в июне при снеготаянии. Подземные воды представлены надмерзлотными водами слоя сезонного оттаивания (июнь–сентябрь, приурочены к понижениям рельефа и техногенным насыпям) и межмерзлотными водами таликов. В период с декабря по май грунтовые воды на площадке отсутствуют, что благоприятно для бурения скважин и устройства свайного поля. Летом требуется поверхностный водоотвод с площадки и от свайного поля (уклоны, лотки) для предотвращения обводнения и оттаивания грунтов.</w:t>
      </w:r>
    </w:p>
    <w:p>
      <w:pPr>
        <w:pStyle w:val="Heading2"/>
        <w:rPr/>
      </w:pPr>
      <w:bookmarkStart w:id="6" w:name="__RefHeading___Toc11519_1443700011"/>
      <w:bookmarkEnd w:id="6"/>
      <w:r>
        <w:rPr>
          <w:rFonts w:eastAsia="Times New Roman" w:cs="Times New Roman"/>
        </w:rPr>
        <w:t>1.5 Условия строительства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Строительство ведётся в сложившейся городской застройке; площадка обеспечена подъездами по городским улицам и инженерными сетями в утилидоре (раздел 5). Условия строительства — особо суровые: подготовительный период, свайные работы и монтаж надземной части выполняются в зимних условиях при температурах до −40…−50 °С; посещение территории иностранными гражданами регламентировано; доставка материалов с «большой земли» возможна только водным и воздушным транспортом (раздел 2).</w:t>
      </w:r>
    </w:p>
    <w:p>
      <w:pPr>
        <w:pStyle w:val="Heading1"/>
        <w:pageBreakBefore w:val="false"/>
        <w:rPr/>
      </w:pPr>
      <w:bookmarkStart w:id="7" w:name="__RefHeading___Toc11521_1443700011"/>
      <w:bookmarkEnd w:id="7"/>
      <w:r>
        <w:rPr>
          <w:rFonts w:eastAsia="Times New Roman" w:cs="Times New Roman"/>
        </w:rPr>
        <w:t>2 Оценка развитости транспортной инфраструктуры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Норильский промышленный район не имеет круглогодичной наземной транспортной связи с опорной сетью страны. Внешние грузовые связи осуществляются: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морским транспортом по Северному морскому пути из портов Мурманск и Архангельск до порта Дудинка — круглогодично, в зимний период с ледокольной проводкой;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речным транспортом по р. Енисей из Красноярска до Дудинки — только в навигацию (июнь–октябрь);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от порта Дудинка до Норильска — по железной дороге (грузовое движение) и по автомобильной дороге Дудинка — Норильск протяжённостью около 90 км;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воздушным транспортом через аэропорт Норильск (Алыкель), расположенный примерно в 35 км от города, — перевозка вахтового персонала и срочных грузов.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Город связан автомобильными дорогами с районами Талнах и Кайеркан и с промышленными площадками. Улично-дорожная сеть пригодна для движения тяжёлых автопоездов (панелевозов, автобетоносмесителей); в метели движение может временно закрываться, что учитывается созданием запаса сборных конструкций на приобъектном складе и на складе предприятия-изготовителя (раздел 12).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Местные материалы и изделия (бетонная смесь и раствор, щебень, песок, сборные железобетонные изделия, сваи) поставляются предприятиями стройиндустрии Норильского промышленного района автомобильным транспортом. Материалы и оборудование, не производимые на месте (металлопрокат, утеплитель, кровельные и отделочные материалы, столярные изделия, инженерное оборудование, лифты), завозятся заблаговременно — в навигацию 2027 г. («северный завоз») или по Северному морскому пути — и хранятся на базисных складах генподрядчика в Норильске. Транспортная схема доставки грузов приведена на рисунке 1, характеристика грузопотоков — в таблице 5.</w:t>
      </w:r>
    </w:p>
    <w:p>
      <w:pPr>
        <w:pStyle w:val="Normal"/>
        <w:keepNext w:val="true"/>
        <w:ind w:hanging="0"/>
        <w:jc w:val="center"/>
        <w:rPr/>
      </w:pPr>
      <w:r>
        <w:rPr/>
        <w:drawing>
          <wp:inline distT="0" distB="0" distL="0" distR="0">
            <wp:extent cx="5760085" cy="321183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</w:rPr>
        <w:t>Рисунок 1 – Транспортная схема доставки грузов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5 – Транспортная схема поставок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7"/>
        <w:gridCol w:w="2721"/>
        <w:gridCol w:w="1247"/>
        <w:gridCol w:w="2778"/>
      </w:tblGrid>
      <w:tr>
        <w:trPr>
          <w:tblHeader w:val="true"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Груз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Поставщик, пункт отправления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Расстояние, км</w:t>
            </w:r>
          </w:p>
        </w:tc>
        <w:tc>
          <w:tcPr>
            <w:tcW w:w="277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Вид транспорта, транспортное средство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Сборные ж/б конструкции (панели, плиты, санкабины, блоки)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Предприятие ЖБИ (ДСК) Норильского промышленного района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277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Автомобильный; панелевозы г/п 16 т с тягачами КамАЗ-65116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Ж/б сваи 35×35 см, L = 12 м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То же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277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Автомобильный; полуприцепы-длинномеры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Бетонная смесь, растворы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Бетонный завод (РБУ)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277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Автобетоносмесители 7 м³ с утеплённым барабаном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Щебень, песок, грунт для подсыпки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Местные карьеры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15</w:t>
            </w:r>
          </w:p>
        </w:tc>
        <w:tc>
          <w:tcPr>
            <w:tcW w:w="277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Автосамосвалы 15 т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Металлопрокат, утеплитель, кровельные и отделочные материалы, столярные изделия, инженерное оборудование, лифты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Заводы-изготовители → порт Дудинка (Севморпуть, р. Енисей) → базисные склады генподрядчика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до 90 + 10</w:t>
            </w:r>
          </w:p>
        </w:tc>
        <w:tc>
          <w:tcPr>
            <w:tcW w:w="277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Морской/речной; ж/д или автомобильный; на площадку — бортовые автомобили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Строительные машины (кран, буровые установки)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Базы механизации генподрядчика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277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Автомобильные тралы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Вахтовый персонал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Красноярск, Москва → аэропорт Алыкель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35 (от аэропорта)</w:t>
            </w:r>
          </w:p>
        </w:tc>
        <w:tc>
          <w:tcPr>
            <w:tcW w:w="277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Авиатранспорт; вахтовые автобусы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Перевозки внутри района выполняются автомобилями в северном исполнении (ХЛ) с предпусковыми подогревателями, на арктическом дизельном топливе. Внутриплощадочные дороги — одностороннее кольцо длиной 197 м из сборных железобетонных плит по щебёночному основанию, шириной 3,5 м, в зоне разгрузки — 6,0 м; въезд и выезд — раздельные, с городской улицы (Приложение Б).</w:t>
      </w:r>
    </w:p>
    <w:p>
      <w:pPr>
        <w:pStyle w:val="Heading1"/>
        <w:pageBreakBefore w:val="false"/>
        <w:rPr/>
      </w:pPr>
      <w:bookmarkStart w:id="8" w:name="__RefHeading___Toc11523_1443700011"/>
      <w:bookmarkEnd w:id="8"/>
      <w:r>
        <w:rPr>
          <w:rFonts w:eastAsia="Times New Roman" w:cs="Times New Roman"/>
        </w:rPr>
        <w:t>3 Сведения о возможности использования местной рабочей силы при осуществлении строительства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Генеральным подрядчиком принимается строительная организация г. Норильска, имеющая производственную базу, парк машин в северном исполнении и штат ИТР, водителей и машинистов. Рынок труда Норильска ограничен: постоянного притока трудовых мигрантов нет, посещение города иностранными гражданами регламентировано и требует разрешения, квалифицированные рабочие ряда строительных профессий в нужном количестве на месте отсутствуют. Оценка возможности обеспечения строительства местными трудовыми ресурсами выполнена по численности рабочих основных профессий в период максимальной загрузки (таблица 6), полученной по календарному плану (Приложение А).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6 – Потребность в рабочих основных профессий и источники её покрытия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69"/>
        <w:gridCol w:w="1928"/>
        <w:gridCol w:w="1644"/>
        <w:gridCol w:w="1813"/>
      </w:tblGrid>
      <w:tr>
        <w:trPr>
          <w:tblHeader w:val="true"/>
        </w:trPr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Профессия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Максимальная потребность, чел.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Местные, чел.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Вахтовым методом, чел.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Монтажники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50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Маляры, штукатуры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Сантехники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Дорожные рабочие, машинисты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Плиточники, паркетчики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Бетонщики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Электромонтажники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Изолировщики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Подсобные рабочие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Электросварщики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Плотники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Кровельщики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Бурильщики, машинисты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Арматурщики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Облицовщики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Монтажники лифтов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Геодезисты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Наладчики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Итого (сумма максимумов)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311</w:t>
            </w:r>
          </w:p>
        </w:tc>
        <w:tc>
          <w:tcPr>
            <w:tcW w:w="164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154</w:t>
            </w:r>
          </w:p>
        </w:tc>
        <w:tc>
          <w:tcPr>
            <w:tcW w:w="181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157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  <w:sz w:val="24"/>
        </w:rPr>
        <w:t>Максимальная численность по отдельным профессиям приходится на разные периоды, поэтому сумма в таблице больше максимальной численности рабочих по графику (156 чел.).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Местными трудовыми ресурсами (кадры генподрядчика и субподрядных организаций Норильска) обеспечивается около 50 % потребности в рабочих — машинисты, водители, геодезисты, подсобные рабочие, часть монтажников, электромонтажников и отделочников; ИТР и служащие — до 70 %. Остальная потребность (монтажники крупнопанельных зданий, электросварщики, бетонщики и арматурщики для зимнего бетонирования, изолировщики-герметизаторщики, монтажники лифтов) покрывается вахтовым методом (раздел 4).</w:t>
      </w:r>
    </w:p>
    <w:p>
      <w:pPr>
        <w:pStyle w:val="Heading1"/>
        <w:pageBreakBefore w:val="false"/>
        <w:rPr/>
      </w:pPr>
      <w:bookmarkStart w:id="9" w:name="__RefHeading___Toc11525_1443700011"/>
      <w:bookmarkEnd w:id="9"/>
      <w:r>
        <w:rPr>
          <w:rFonts w:eastAsia="Times New Roman" w:cs="Times New Roman"/>
        </w:rPr>
        <w:t>4 Перечень мероприятий по привлечению для осуществления строительства квалифицированных специалистов, в том числе для выполнения работ вахтовым методом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Для привлечения недостающих квалифицированных работников предусматриваются мероприятия: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1) определение потребности в квалифицированных специалистах по профессиям и периодам работ (таблица 6, Приложение А); численность вахтового персонала в период максимальной загрузки — около 88 чел.;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2) источники покрытия: собственные кадры генподрядчика и субподрядных организаций из Красноярска и других регионов, специализированные монтажные организации (лифты, слаботочные системы), организованный набор кадров;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3) оформление заявки на организованный набор кадров в центр занятости населения г. Норильска и в центры занятости других регионов (через единую цифровую платформу «Работа России»);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4) составление графика работы вахтовым методом в соответствии с гл. 47 ТК РФ: продолжительность вахты — один месяц (в исключительных случаях до трёх месяцев, ст. 299), суммированный учёт рабочего времени, ежедневная работа — до 11 ч с перерывами для обогрева; ведущие машины (буровые установки, башенный кран) — в две смены;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5) заключение договоров с авиаперевозчиком на доставку вахтовых работников по маршрутам Красноярск — Норильск и Москва — Норильск и с автотранспортным предприятием на перевозку от аэропорта Алыкель и от общежития до площадки;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6) организация предварительных и периодических медицинских осмотров (приказ Минздрава России от 28.01.2021 № 29н) с учётом противопоказаний к работе в районах Крайнего Севера; предсменные медицинские осмотры водителей и машинистов;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7) размещение вахтового персонала в арендуемом общежитии (гостинице) г. Норильска вместо временного жилого городка у объекта (раздел 16);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8) организация питания (комната приёма пищи на площадке, доставка горячего питания) и санитарно-бытового обслуживания работающих (подраздел 11.8);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9) предоставление гарантий и компенсаций для работающих в районах Крайнего Севера (районный коэффициент 1,8 и процентная надбавка к заработной плате, ежегодный дополнительный отпуск 24 календарных дня — ст. 302, 316, 317, 321 ТК РФ);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10) комплектование вахтового персонала преимущественно гражданами РФ в связи с регламентированным порядком въезда иностранных граждан в г. Норильск;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11) вводный инструктаж, обучение безопасным методам работ при низких температурах и стажировка на рабочем месте.</w:t>
      </w:r>
    </w:p>
    <w:p>
      <w:pPr>
        <w:pStyle w:val="Heading1"/>
        <w:pageBreakBefore w:val="false"/>
        <w:rPr/>
      </w:pPr>
      <w:bookmarkStart w:id="10" w:name="__RefHeading___Toc11527_1443700011"/>
      <w:bookmarkEnd w:id="10"/>
      <w:r>
        <w:rPr>
          <w:rFonts w:eastAsia="Times New Roman" w:cs="Times New Roman"/>
        </w:rPr>
        <w:t>5 Характеристика земельного участка, предоставленного для строительства, обоснование необходимости использования земельных участков вне земельного участка, предоставляемого для строительства объекта капитального строительства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Земельный участок (принят условно) расположен в застроенной части г. Норильска внутри жилого квартала. Участок прямоугольной формы размерами 200 × 85 м, площадь — 1,70 га. Границы участка: с юга — городская улица с тротуаром; с севера — существующий 5-этажный жилой дом (около 7 м от границы участка и 36 м от строящегося дома); с запада — существующий утилидор инженерных сетей; с востока — внутриквартальная территория.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Рельеф участка спланированный, с уклоном 1–2 % в сторону улицы; абсолютные отметки поверхности — 95,0–96,5 м (Балтийская система, условно). Участок свободен от застройки и зелёных насаждений; поверхность сложена техногенной подсыпкой из крупнообломочного грунта. Инженерные сети: вдоль западной границы — утилидор с тепловой сетью, водопроводом и канализацией; под тротуаром улицы — кабельные линии 0,4–6 кВ и сети связи; на улице — пожарные гидранты в утеплённых колодцах. Технические условия на временное подключение выдают АО «НТЭК» и владельцы сетей связи.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Все объекты строительного хозяйства — временные здания, склады, дороги, пункт очистки колёс, трансформаторная подстанция — размещаются в границах участка (Приложение Б), опасная зона башенного крана не выходит за его пределы. Использование земельных участков вне участка, предоставленного для строительства, не требуется, за исключением временного занятия полосы тротуара у въезда и выезда (по разрешению органа местного самоуправления) и прокладки временных вводов от утилидора в пределах его охранной зоны (по согласованию с владельцем сетей). Вахтовый персонал размещается в существующем жилом фонде города, отвод земель под временный жилой городок не нужен.</w:t>
      </w:r>
    </w:p>
    <w:p>
      <w:pPr>
        <w:pStyle w:val="Heading1"/>
        <w:pageBreakBefore w:val="false"/>
        <w:rPr/>
      </w:pPr>
      <w:bookmarkStart w:id="11" w:name="__RefHeading___Toc11529_1443700011"/>
      <w:bookmarkEnd w:id="11"/>
      <w:r>
        <w:rPr>
          <w:rFonts w:eastAsia="Times New Roman" w:cs="Times New Roman"/>
        </w:rPr>
        <w:t>6 Описание особенностей проведения работ в условиях действующего предприятия, в местах расположения подземных коммуникаций, линий электропередачи и связи – для объектов производственного назначения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Проектируемый объект — многоквартирный жилой дом (объект непроизводственного назначения); строительство ведётся вне территории действующего предприятия, поэтому раздел не разрабатывается. Особенности работ вблизи подземных коммуникаций, линий электропередачи и связи изложены в разделе 7.</w:t>
      </w:r>
    </w:p>
    <w:p>
      <w:pPr>
        <w:pStyle w:val="Heading1"/>
        <w:pageBreakBefore w:val="false"/>
        <w:rPr/>
      </w:pPr>
      <w:bookmarkStart w:id="12" w:name="__RefHeading___Toc11531_1443700011"/>
      <w:bookmarkEnd w:id="12"/>
      <w:r>
        <w:rPr>
          <w:rFonts w:eastAsia="Times New Roman" w:cs="Times New Roman"/>
        </w:rPr>
        <w:t>7 Описание особенностей проведения работ в условиях стеснённой городской застройки, в местах расположения подземных коммуникаций, линий электропередачи и связи – для объектов непроизводственного назначения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Стеснённость условий строительства определяется близостью существующего жилого дома (36 м от строящегося здания), городской улицы с тротуаром (около 48 м), утилидора (около 62 м) и кабельных сетей под тротуаром, а также ограниченностью места для складирования конструкций и разворота транспорта.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Опасные зоны при работе башенного крана КБ-405.1А определены по СНиП 12-03-2001 (приложение Г) и РД-11-06-2007 (подраздел 11.2 и раздел 17): граница опасной зоны перемещения грузов — 34,1 м от оси крана, опасная зона у строящегося здания — 7 м от его контура. При принятой привязке подкранового пути опасная зона крана целиком находится в пределах площадки: до южной границы (улица) — 5,0 м, до северной — 11,8 м, до западной — 24,8 м, до восточной — 4,4 м. Существующие здания, тротуар и утилидор в опасные зоны не попадают.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Мероприятия по ограничению зоны обслуживания крана и безопасности работ: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ограничение рабочего вылета крана 18 м и угла поворота стрелы на крайних стоянках ограничителем рабочих движений (координатной защитой) с записью о настройке в вахтенном журнале;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запрещение перемещения грузов над бытовым городком, над кабинами автомобилей с людьми и над проездами во время движения транспорта;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знаки безопасности и сигнальное освещение на кране и по границе опасной зоны (в период полярной ночи — постоянно);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защитный козырёк над тротуаром у въезда и выезда, временные дорожные знаки по схеме, согласованной с Госавтоинспекцией; временное закрытие улицы и изменение маршрутов городского транспорта не требуются;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работа одним башенным краном — мероприятия по совместной работе кранов не требуются; при работе автомобильного крана в зоне башенного (монтаж и демонтаж крана, кровельное оборудование) башенный кран выводится из работы, порядок фиксируется нарядом-допуском;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котлован не разрабатывается (свайный фундамент с высоким ростверком), поэтому ограничения на установку кранов у откосов не требуются.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Подземные коммуникации и линии электропередачи. Воздушных линий электропередачи и связи в зоне работы кранов нет. Работы в охранной зоне утилидора (по 3 м от наружных стенок) и кабельных линий (по 1 м) — прокладка временных вводов и наружных сетей — выполняются по наряду-допуску в присутствии представителя владельца сетей, вручную или малогабаритными машинами; проезд тяжёлой техники над утилидором и кабелями исключается или выполняется по защитным плитам.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Для этих работ разрабатываются проекты производства работ: на работы башенным и автомобильными кранами (РД-11-06-2007), на устройство свайного фундамента в мёрзлых грунтах, на зимнее бетонирование ростверка и замоноличивание стыков, на временные подключения к инженерным сетям.</w:t>
      </w:r>
    </w:p>
    <w:p>
      <w:pPr>
        <w:pStyle w:val="Heading1"/>
        <w:pageBreakBefore w:val="false"/>
        <w:rPr/>
      </w:pPr>
      <w:bookmarkStart w:id="13" w:name="__RefHeading___Toc11533_1443700011"/>
      <w:bookmarkEnd w:id="13"/>
      <w:r>
        <w:rPr>
          <w:rFonts w:eastAsia="Times New Roman" w:cs="Times New Roman"/>
        </w:rPr>
        <w:t>8 Обоснование принятой организационно-технологической схемы, определяющей последовательность возведения зданий и сооружений, инженерных и транспортных коммуникаций, обеспечивающей соблюдение установленных в календарном плане строительства сроков завершения строительства (его этапов)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Строительство ведётся в три периода: подготовительный, основной (возведение здания) и заключительный (наружные сети, благоустройство, ввод в эксплуатацию). Последовательность работ определена исходя из следующих условий: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начало строительства приходится на полярную ночь и самые низкие температуры — в подготовительный период в первую очередь выполняются временное электроснабжение и освещение, отапливаемый бытовой городок, ограждение и дороги;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свайные работы выгодно выполнять зимой: грунты находятся в мёрзлом состоянии, надмерзлотные воды отсутствуют, сваи быстро вмерзают; к началу сезонного оттаивания (июнь) свайное поле полностью загружено зданием;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монтаж надземной части ведётся одним башенным краном на рельсовом ходу; подкрановый путь укладывается на спланированное мёрзлое основание вне свайного поля, а кран демонтируется до сезонного оттаивания грунта под путём (начало июня);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тепловой ввод и включение постоянной системы отопления по временной схеме выполняются в марте, что позволяет начать отделочные работы в закрытом отапливаемом контуре с апреля;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наружные сети и благоустройство выполняются в летний период (июнь–август) после демонтажа крана и подкранового пути.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Организационно-технологическая схема возведения дома: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подземная часть — поточно по четырём захваткам (секциям): бурение скважин и погружение свай двумя буровыми установками (каждая — на двух секциях); с отставанием на время вмерзания свай — ростверк; затем — цокольные конструкции и перекрытие над подпольем;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надземная часть — двумя монтажными захватками (захватка I — секции 1–2, захватка II — секции 3–4), в пределах захватки — поэтажно; монтаж захватки II начинается после монтажа захватки I и её покрытия; на захватке, свободной от монтажа, выполняются сварка, замоноличивание и герметизация стыков;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специальные работы I стадии (стояки, вводы, закладные устройства) — с отставанием от монтажа на 2–3 этажа, II стадии — совмещённо с отделочными работами;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отделочные работы — по захваткам после закрытия теплового контура, сверху вниз по этажам; лифты монтируются по готовности шахт и машинных помещений захватки;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наружные сети, благоустройство и озеленение — в летний период.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Технологическая последовательность работ, установленная схемой (таблица 7), является исходной для календарного плана строительства (таблица А.1 и рисунок А.1 Приложения А). Размещение объектов строительного хозяйства показано на схеме стройгенплана (рисунок Б.1 Приложения Б).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7 – Организационно-технологическая схема возведения объекта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0"/>
        <w:gridCol w:w="2608"/>
        <w:gridCol w:w="1701"/>
        <w:gridCol w:w="1871"/>
        <w:gridCol w:w="1475"/>
      </w:tblGrid>
      <w:tr>
        <w:trPr>
          <w:tblHeader w:val="true"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Этап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Состав работ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Организация работ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Ведущие машины</w:t>
            </w:r>
          </w:p>
        </w:tc>
        <w:tc>
          <w:tcPr>
            <w:tcW w:w="147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Сроки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Подготовительный период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ГРО, снег, ограждение, дороги, бытовой городок, временные сети, подкрановый путь и кран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последовательно-параллельно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бульдозер, погрузчик, автокраны</w:t>
            </w:r>
          </w:p>
        </w:tc>
        <w:tc>
          <w:tcPr>
            <w:tcW w:w="147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01.12.2027 – 18.02.2028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Подземная часть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сваи, ростверк, цоколь, перекрытие над подпольем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поточно, 4 захватки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 буровые установки, 2 автокрана, бетононасос</w:t>
            </w:r>
          </w:p>
        </w:tc>
        <w:tc>
          <w:tcPr>
            <w:tcW w:w="147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13.12.2027 – 15.03.2028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Надземная часть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монтаж 1–9 этажей и покрытия, стыки, кровля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поэтажно, 2 захватки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кран КБ-405.1А</w:t>
            </w:r>
          </w:p>
        </w:tc>
        <w:tc>
          <w:tcPr>
            <w:tcW w:w="147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21.02.2028 – 20.06.2028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Специальные работы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ВК, ОВ, ЭО, слаботочные системы, лифты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поточно с отставанием от монтажа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подъёмники, автокран</w:t>
            </w:r>
          </w:p>
        </w:tc>
        <w:tc>
          <w:tcPr>
            <w:tcW w:w="147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01.03.2028 – 10.08.2028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Отделочные работы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отделка, полы, прочие работы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 захваткам сверху вниз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растворные станции, подъёмники</w:t>
            </w:r>
          </w:p>
        </w:tc>
        <w:tc>
          <w:tcPr>
            <w:tcW w:w="147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03.04.2028 – 25.08.2028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Заключительный период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наружные сети, благоустройство, ПНР, сдача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параллельно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экскаватор-погрузчик, автокран</w:t>
            </w:r>
          </w:p>
        </w:tc>
        <w:tc>
          <w:tcPr>
            <w:tcW w:w="147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13.06.2028 – 31.08.2028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Heading1"/>
        <w:pageBreakBefore w:val="false"/>
        <w:rPr/>
      </w:pPr>
      <w:bookmarkStart w:id="14" w:name="__RefHeading___Toc11535_1443700011"/>
      <w:bookmarkEnd w:id="14"/>
      <w:r>
        <w:rPr>
          <w:rFonts w:eastAsia="Times New Roman" w:cs="Times New Roman"/>
        </w:rPr>
        <w:t>9 Перечень видов строительных и монтажных работ, ответственных конструкций, участков сетей инженерно-технического обеспечения, подлежащих освидетельствованию с составлением соответствующих актов приёмки перед производством последующих работ и устройством последующих конструкций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Освидетельствование выполняется с оформлением актов по формам РД 11-02-2006: акт освидетельствования скрытых работ (АОСР, приложение 3), акт освидетельствования ответственных конструкций (АООК, приложение 4), акт освидетельствования участков сетей инженерно-технического обеспечения (АОУСИТО, приложение 5). Перечень приведён в таблице 8.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8 – Перечень работ и конструкций, подлежащих освидетельствованию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6"/>
        <w:gridCol w:w="4990"/>
        <w:gridCol w:w="3798"/>
      </w:tblGrid>
      <w:tr>
        <w:trPr>
          <w:tblHeader w:val="true"/>
        </w:trPr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№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Работы, конструкции, участки сетей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Документ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Геодезическая разбивочная основа; разбивка осей здания и свайного поля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Акт освидетельствования ГРО; акт разбивки осей (прил. 1, 2 РД 11-02-2006)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Бурение скважин (положение, диаметр, глубина, зачистка забоя)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АОСР; журнал бурения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Погружение свай, заполнение пазух раствором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АОСР; журнал погружения свай; исполнительная схема свайного поля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Вмерзание свай (температурный режим основания)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Журнал термометрических наблюдений; заключение о готовности свайного поля к загружению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Свайное основание захватки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АООК (с участием проектной организации)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Армирование ростверка, закладные детали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АОСР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Бетонирование и прогрев ростверка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Журналы бетонных работ и прогрева; АООК «Ростверк»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Теплоизоляция цокольного перекрытия, вводы инженерных сетей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АОСР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Монтаж конструкций этажа; сварка закладных деталей, антикоррозионная защита сварных соединений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АОСР на каждый этаж; исполнительная схема; журнал сварочных работ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Замоноличивание узлов и стыков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АОСР; журнал замоноличивания; протоколы прочности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Несущие конструкции этажа (стены, перекрытия)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АООК поэтажно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Герметизация и утепление стыков наружных стеновых панелей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АОСР по захваткам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Пароизоляция и утепление чердачного перекрытия, кровля, водосточные воронки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АОСР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Скрытая электропроводка, заземление и уравнивание потенциалов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АОСР; протоколы электроизмерений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Системы отопления, водопровода, канализации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АОУСИТО; акты гидравлических испытаний (СП 73.13330.2016)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Лифты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Акт полного технического освидетельствования (ТР ТС 011/2011)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49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Наружные сети в утилидорах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АОУСИТО; акты испытаний и промывки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Мероприятия по обеспечению прочности и устойчивости ответственных конструкций в процессе строительства: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загружение свай — только после их вмерзания, подтверждённого термометрическими наблюдениями (в зимний период ориентировочно через 2–3 недели после погружения; срок уточняется расчётом в ППР);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распалубка и загружение ростверка — после набора бетоном не менее 70 % проектной прочности, подтверждённого испытанием образцов, твердевших в условиях конструкции, и неразрушающими методами;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временное крепление стеновых панелей монтажной оснасткой до замоноличивания узлов; монтаж вышележащего этажа — после достижения раствором (бетоном) замоноличивания прочности, указанной в проекте, при отрицательных температурах — с прогревом стыков;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прекращение монтажа панелей при скорости ветра 10 м/с и более; очистка закладных деталей и опорных поверхностей от снега и наледи перед монтажом;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контроль осадок ростверка по осадочным маркам и температуры грунтов основания на весь период строительства.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Методы и средства контроля и испытаний: визуальный и измерительный контроль, геодезический контроль (тахеометр, нивелир), неразрушающий контроль прочности бетона (ГОСТ 22690-2015, ГОСТ 17624-2021), испытания контрольных образцов (ГОСТ 10180-2012, ГОСТ 18105-2018), визуально-измерительный и ультразвуковой контроль сварных соединений, гидравлические испытания трубопроводов, электроизмерения, термометрия грунтов (ГОСТ 25358-2020), статические испытания свай (ГОСТ 5686-2020).</w:t>
      </w:r>
    </w:p>
    <w:p>
      <w:pPr>
        <w:pStyle w:val="Heading1"/>
        <w:pageBreakBefore w:val="false"/>
        <w:rPr/>
      </w:pPr>
      <w:bookmarkStart w:id="15" w:name="__RefHeading___Toc11537_1443700011"/>
      <w:bookmarkEnd w:id="15"/>
      <w:r>
        <w:rPr>
          <w:rFonts w:eastAsia="Times New Roman" w:cs="Times New Roman"/>
        </w:rPr>
        <w:t>10 Технологическая последовательность работ при возведении объекта капитального строительства или его отдельных элементов</w:t>
      </w:r>
    </w:p>
    <w:p>
      <w:pPr>
        <w:pStyle w:val="Heading2"/>
        <w:rPr/>
      </w:pPr>
      <w:bookmarkStart w:id="16" w:name="__RefHeading___Toc11539_1443700011"/>
      <w:bookmarkEnd w:id="16"/>
      <w:r>
        <w:rPr>
          <w:rFonts w:eastAsia="Times New Roman" w:cs="Times New Roman"/>
        </w:rPr>
        <w:t>10.1 Подготовительный период (01.12.2027 – 18.02.2028)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1) приёмка геодезической разбивочной основы от заказчика, разбивка осей здания;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2) очистка территории от снега, вертикальная планировка подсыпкой крупнообломочным грунтом без нарушения мёрзлого основания;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3) монтаж временного ограждения, КПП, пункта очистки колёс, информационного щита;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4) устройство временных дорог и площадок складирования из ж/б плит по щебёночному основанию;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5) установка КТПН-400, прокладка кабелей 0,4 кВ, монтаж прожекторных мачт (освещение в полярную ночь);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6) установка блок-контейнеров бытового городка в два яруса с тёплыми переходами, подключение электроотопления, временного водопровода с греющим кабелем и канализации;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7) устройство подкранового пути на спланированном мёрзлом основании (балластная призма из щебня, полушпалы, рельсы по проекту пути), монтаж, испытание и постановка на учёт крана КБ-405.1А.</w:t>
      </w:r>
    </w:p>
    <w:p>
      <w:pPr>
        <w:pStyle w:val="Heading2"/>
        <w:rPr/>
      </w:pPr>
      <w:bookmarkStart w:id="17" w:name="__RefHeading___Toc11541_1443700011"/>
      <w:bookmarkEnd w:id="17"/>
      <w:r>
        <w:rPr>
          <w:rFonts w:eastAsia="Times New Roman" w:cs="Times New Roman"/>
        </w:rPr>
        <w:t>10.2 Подземная часть (13.12.2027 – 15.03.2028)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1) разбивка свайного поля; бурение скважин диаметром 550 мм на глубину 10,8 м двумя буровыми установками в две смены, поточно по секциям 1 → 4, с очисткой забоя и защитой устьев от снега;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2) заливка в скважину подогретого цементно-песчаного раствора (около 1/3 объёма скважины), погружение сваи автокраном в кондукторе с выверкой положения, выдавливание раствора до полного заполнения пазух;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3) контроль вмерзания свай по термометрическим скважинам (по две на секцию);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4) срубка (выравнивание) голов свай до проектной отметки, выпуски арматуры;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5) монтаж подвесной опалубки ростверка, армирование, установка закладных деталей и греющих проводов, устройство тепляков;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6) бетонирование ростверка бетононасосом из автобетоносмесителей подогретой смесью (температура укладки и режим выдерживания — по ППР в соответствии с СП 70.13330.2012), электропрогрев до набора 70 % прочности, распалубка;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7) монтаж цокольных конструкций и перекрытия над подпольем, утепление перекрытия, устройство продухов проветриваемого подполья, вводы сетей в теплоизолированных коробах.</w:t>
      </w:r>
    </w:p>
    <w:p>
      <w:pPr>
        <w:pStyle w:val="Heading2"/>
        <w:rPr/>
      </w:pPr>
      <w:bookmarkStart w:id="18" w:name="__RefHeading___Toc11543_1443700011"/>
      <w:bookmarkEnd w:id="18"/>
      <w:r>
        <w:rPr>
          <w:rFonts w:eastAsia="Times New Roman" w:cs="Times New Roman"/>
        </w:rPr>
        <w:t>10.3 Надземная часть (21.02.2028 – 20.06.2028)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Монтаж ведётся поэтажно в пределах захватки (сначала захватка I — секции 1–2, затем захватка II — секции 3–4). Последовательность монтажа этажа: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1) геодезическая разбивка осей и установочных рисок, нивелирование опорных поверхностей, устройство маяков;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2) монтаж наружных стеновых панелей с временным креплением подкосами (от лестнично-лифтового узла и с угловых панелей);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3) монтаж внутренних стеновых панелей, перегородок, санкабин, вентблоков и блоков лифтовой шахты;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4) монтаж лестничных площадок и маршей;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5) сварка закладных деталей, антикоррозионная защита сварных соединений;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6) замоноличивание вертикальных стыков и узлов раствором (бетоном) с противоморозными добавками и электропрогревом;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7) монтаж плит перекрытия (масса до 7,76 т) по слою раствора, сварка связей, замоноличивание швов;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8) перестановка ограждений по краю перекрытия, переход на следующий этаж; после 9-го этажа — монтаж элементов чердака, машинных помещений, ребристых панелей покрытия и лотков.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Герметизация и утепление стыков наружных панелей ведутся с фасадных люлек с отставанием от монтажа на 2–3 этажа, с местным подогревом стыка и материалами, допускающими нанесение при низких температурах. Кровля (утепление чердачного перекрытия, кровельные панели, примыкания, воронки внутреннего водостока с электрообогревом) выполняется по захваткам после монтажа покрытия.</w:t>
      </w:r>
    </w:p>
    <w:p>
      <w:pPr>
        <w:pStyle w:val="Heading2"/>
        <w:rPr/>
      </w:pPr>
      <w:bookmarkStart w:id="19" w:name="__RefHeading___Toc11545_1443700011"/>
      <w:bookmarkEnd w:id="19"/>
      <w:r>
        <w:rPr>
          <w:rFonts w:eastAsia="Times New Roman" w:cs="Times New Roman"/>
        </w:rPr>
        <w:t>10.4 Специальные работы (01.03.2028 – 10.08.2028)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I стадия — стояки водопровода, канализации и отопления, электропроводка в каналах панелей, закладные устройства — с отставанием от монтажа на 2–3 этажа; тепловой ввод и включение отопления по временной схеме — в марте; II стадия — установка приборов, электроплит, оконечных устройств, наладка систем — совмещённо с отделочными работами. Монтаж лифтов — по готовности шахт и машинных помещений, слаботочные системы — с июня.</w:t>
      </w:r>
    </w:p>
    <w:p>
      <w:pPr>
        <w:pStyle w:val="Heading2"/>
        <w:rPr/>
      </w:pPr>
      <w:bookmarkStart w:id="20" w:name="__RefHeading___Toc11547_1443700011"/>
      <w:bookmarkEnd w:id="20"/>
      <w:r>
        <w:rPr>
          <w:rFonts w:eastAsia="Times New Roman" w:cs="Times New Roman"/>
        </w:rPr>
        <w:t>10.5 Отделочные работы (03.04.2028 – 25.08.2028)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Отделка выполняется по захваткам после закрытия теплового контура (монтаж покрытия, остекление, утеплённые временные двери входов) и включения отопления, при температуре в помещениях не ниже +10 °С (СП 71.13330.2017), сверху вниз: подготовка поверхностей, шпаклёвка, облицовка санузлов и кухонь, стяжки и покрытия полов, окраска, оклейка обоями, установка дверей и встроенного оборудования. Строительный мусор удаляется в закрытых контейнерах.</w:t>
      </w:r>
    </w:p>
    <w:p>
      <w:pPr>
        <w:pStyle w:val="Heading2"/>
        <w:rPr/>
      </w:pPr>
      <w:bookmarkStart w:id="21" w:name="__RefHeading___Toc11549_1443700011"/>
      <w:bookmarkEnd w:id="21"/>
      <w:r>
        <w:rPr>
          <w:rFonts w:eastAsia="Times New Roman" w:cs="Times New Roman"/>
        </w:rPr>
        <w:t>10.6 Наружные сети, благоустройство, сдача объекта (13.06.2028 – 31.08.2028)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После демонтажа крана и подкранового пути: прокладка наружных сетей водопровода, канализации, электроснабжения и связи в утилидорах и коробах на опорах (без нарушения мёрзлого основания), устройство отмостки, проездов, тротуаров и площадок, озеленение (посев многолетних трав и посадка кустарников в привозной грунт), пусконаладочные работы, уборка, подготовка исполнительной документации и сдача объекта.</w:t>
      </w:r>
    </w:p>
    <w:p>
      <w:pPr>
        <w:pStyle w:val="Heading1"/>
        <w:pageBreakBefore w:val="false"/>
        <w:rPr/>
      </w:pPr>
      <w:bookmarkStart w:id="22" w:name="__RefHeading___Toc11551_1443700011"/>
      <w:bookmarkEnd w:id="22"/>
      <w:r>
        <w:rPr>
          <w:rFonts w:eastAsia="Times New Roman" w:cs="Times New Roman"/>
        </w:rPr>
        <w:t>11 Обоснование потребности строительства в кадрах, основных строительных машинах, механизмах, транспортных средствах, в топливе и горюче-смазочных материалах, а также в электрической энергии, паре, воде, временных зданиях и сооружениях</w:t>
      </w:r>
    </w:p>
    <w:p>
      <w:pPr>
        <w:pStyle w:val="Heading2"/>
        <w:rPr/>
      </w:pPr>
      <w:bookmarkStart w:id="23" w:name="__RefHeading___Toc11553_1443700011"/>
      <w:bookmarkEnd w:id="23"/>
      <w:r>
        <w:rPr>
          <w:rFonts w:eastAsia="Times New Roman" w:cs="Times New Roman"/>
        </w:rPr>
        <w:t>11.1 Потребность в кадрах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Трудоёмкость возведения здания определена по построечным трудозатратам типового проекта с пересчётом на условия г. Норильска: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Q</w:t>
      </w:r>
      <w:r>
        <w:rPr>
          <w:rFonts w:eastAsia="Times New Roman" w:cs="Times New Roman"/>
          <w:vertAlign w:val="subscript"/>
        </w:rPr>
        <w:t>зд</w:t>
      </w:r>
      <w:r>
        <w:rPr>
          <w:rFonts w:eastAsia="Times New Roman" w:cs="Times New Roman"/>
        </w:rPr>
        <w:t xml:space="preserve"> = q</w:t>
      </w:r>
      <w:r>
        <w:rPr>
          <w:rFonts w:eastAsia="Times New Roman" w:cs="Times New Roman"/>
          <w:vertAlign w:val="subscript"/>
        </w:rPr>
        <w:t>тп</w:t>
      </w:r>
      <w:r>
        <w:rPr>
          <w:rFonts w:eastAsia="Times New Roman" w:cs="Times New Roman"/>
        </w:rPr>
        <w:t xml:space="preserve"> · n</w:t>
      </w:r>
      <w:r>
        <w:rPr>
          <w:rFonts w:eastAsia="Times New Roman" w:cs="Times New Roman"/>
          <w:vertAlign w:val="subscript"/>
        </w:rPr>
        <w:t>с</w:t>
      </w:r>
      <w:r>
        <w:rPr>
          <w:rFonts w:eastAsia="Times New Roman" w:cs="Times New Roman"/>
        </w:rPr>
        <w:t xml:space="preserve"> · K</w:t>
      </w:r>
      <w:r>
        <w:rPr>
          <w:rFonts w:eastAsia="Times New Roman" w:cs="Times New Roman"/>
          <w:vertAlign w:val="subscript"/>
        </w:rPr>
        <w:t>т</w:t>
      </w:r>
      <w:r>
        <w:rPr>
          <w:rFonts w:eastAsia="Times New Roman" w:cs="Times New Roman"/>
        </w:rPr>
        <w:t xml:space="preserve"> = 3 536 · 4 · 1,2 = 16 973 чел.-дн.,</w:t>
        <w:tab/>
        <w:t>(1)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q</w:t>
      </w:r>
      <w:r>
        <w:rPr>
          <w:rFonts w:eastAsia="Times New Roman" w:cs="Times New Roman"/>
          <w:vertAlign w:val="subscript"/>
        </w:rPr>
        <w:t>тп</w:t>
      </w:r>
      <w:r>
        <w:rPr>
          <w:rFonts w:eastAsia="Times New Roman" w:cs="Times New Roman"/>
        </w:rPr>
        <w:t xml:space="preserve"> — построечные трудозатраты на одну блок-секцию по типовому проекту, чел.-дн.;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n</w:t>
      </w:r>
      <w:r>
        <w:rPr>
          <w:rFonts w:eastAsia="Times New Roman" w:cs="Times New Roman"/>
          <w:vertAlign w:val="subscript"/>
        </w:rPr>
        <w:t>с</w:t>
      </w:r>
      <w:r>
        <w:rPr>
          <w:rFonts w:eastAsia="Times New Roman" w:cs="Times New Roman"/>
        </w:rPr>
        <w:t xml:space="preserve"> — количество секций;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K</w:t>
      </w:r>
      <w:r>
        <w:rPr>
          <w:rFonts w:eastAsia="Times New Roman" w:cs="Times New Roman"/>
          <w:vertAlign w:val="subscript"/>
        </w:rPr>
        <w:t>т</w:t>
      </w:r>
      <w:r>
        <w:rPr>
          <w:rFonts w:eastAsia="Times New Roman" w:cs="Times New Roman"/>
        </w:rPr>
        <w:t xml:space="preserve"> = 1,2 — укрупнённый коэффициент, учитывающий увеличение затрат труда при работе в зимних условиях Крайнего Севера (принят по аналогии с поправочным коэффициентом п. 1 МДС 12-43.2008).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С учётом работ, не входящих в типовой проект (подготовительный период, монтаж и демонтаж крана, наружные сети, благоустройство, пусконаладка), общая трудоёмкость по календарному плану Q = 20 022 чел.-дн. (таблица А.1).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Численность работающих определена на основе выработки на одного работающего в год, стоимости годового объёма работ и процентного соотношения численности работающих по категориям: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N</w:t>
      </w:r>
      <w:r>
        <w:rPr>
          <w:rFonts w:eastAsia="Times New Roman" w:cs="Times New Roman"/>
          <w:vertAlign w:val="subscript"/>
        </w:rPr>
        <w:t>общ</w:t>
      </w:r>
      <w:r>
        <w:rPr>
          <w:rFonts w:eastAsia="Times New Roman" w:cs="Times New Roman"/>
        </w:rPr>
        <w:t xml:space="preserve"> = С / (В · Т),</w:t>
        <w:tab/>
        <w:t>(2)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С — сметная стоимость строительно-монтажных работ, руб.;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В — выработка на одного работающего в год, руб./чел.;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Т — продолжительность строительства, лет.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Стоимость и выработка приняты в базисном уровне цен 1984 г., в котором составлены сметы типового проекта. Выработка на одного работающего по показателям типового проекта: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В = С</w:t>
      </w:r>
      <w:r>
        <w:rPr>
          <w:rFonts w:eastAsia="Times New Roman" w:cs="Times New Roman"/>
          <w:vertAlign w:val="subscript"/>
        </w:rPr>
        <w:t>смр.тп</w:t>
      </w:r>
      <w:r>
        <w:rPr>
          <w:rFonts w:eastAsia="Times New Roman" w:cs="Times New Roman"/>
        </w:rPr>
        <w:t xml:space="preserve"> / q</w:t>
      </w:r>
      <w:r>
        <w:rPr>
          <w:rFonts w:eastAsia="Times New Roman" w:cs="Times New Roman"/>
          <w:vertAlign w:val="subscript"/>
        </w:rPr>
        <w:t>тп</w:t>
      </w:r>
      <w:r>
        <w:rPr>
          <w:rFonts w:eastAsia="Times New Roman" w:cs="Times New Roman"/>
        </w:rPr>
        <w:t xml:space="preserve"> · Д · α</w:t>
      </w:r>
      <w:r>
        <w:rPr>
          <w:rFonts w:eastAsia="Times New Roman" w:cs="Times New Roman"/>
          <w:vertAlign w:val="subscript"/>
        </w:rPr>
        <w:t>р</w:t>
      </w:r>
      <w:r>
        <w:rPr>
          <w:rFonts w:eastAsia="Times New Roman" w:cs="Times New Roman"/>
        </w:rPr>
        <w:t>,</w:t>
        <w:tab/>
        <w:t>(3)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С</w:t>
      </w:r>
      <w:r>
        <w:rPr>
          <w:rFonts w:eastAsia="Times New Roman" w:cs="Times New Roman"/>
          <w:vertAlign w:val="subscript"/>
        </w:rPr>
        <w:t>смр.тп</w:t>
      </w:r>
      <w:r>
        <w:rPr>
          <w:rFonts w:eastAsia="Times New Roman" w:cs="Times New Roman"/>
        </w:rPr>
        <w:t xml:space="preserve"> = 224 тыс. руб. — стоимость СМР блок-секции;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Д = 230 — число рабочих дней в году;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α</w:t>
      </w:r>
      <w:r>
        <w:rPr>
          <w:rFonts w:eastAsia="Times New Roman" w:cs="Times New Roman"/>
          <w:vertAlign w:val="subscript"/>
        </w:rPr>
        <w:t>р</w:t>
      </w:r>
      <w:r>
        <w:rPr>
          <w:rFonts w:eastAsia="Times New Roman" w:cs="Times New Roman"/>
        </w:rPr>
        <w:t xml:space="preserve"> = 0,845 — доля рабочих в общей численности работающих;</w:t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</w:rPr>
        <w:t>В = 224 000 / 3 536 · 230 · 0,845 = 12 312 руб./чел. в год.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Стоимость СМР по объекту с учётом свайного фундамента, северных условий и прочих работ определена пропорционально трудоёмкости: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С = С</w:t>
      </w:r>
      <w:r>
        <w:rPr>
          <w:rFonts w:eastAsia="Times New Roman" w:cs="Times New Roman"/>
          <w:vertAlign w:val="subscript"/>
        </w:rPr>
        <w:t>смр.тп</w:t>
      </w:r>
      <w:r>
        <w:rPr>
          <w:rFonts w:eastAsia="Times New Roman" w:cs="Times New Roman"/>
        </w:rPr>
        <w:t xml:space="preserve"> · n</w:t>
      </w:r>
      <w:r>
        <w:rPr>
          <w:rFonts w:eastAsia="Times New Roman" w:cs="Times New Roman"/>
          <w:vertAlign w:val="subscript"/>
        </w:rPr>
        <w:t>с</w:t>
      </w:r>
      <w:r>
        <w:rPr>
          <w:rFonts w:eastAsia="Times New Roman" w:cs="Times New Roman"/>
        </w:rPr>
        <w:t xml:space="preserve"> · Q / Q</w:t>
      </w:r>
      <w:r>
        <w:rPr>
          <w:rFonts w:eastAsia="Times New Roman" w:cs="Times New Roman"/>
          <w:vertAlign w:val="subscript"/>
        </w:rPr>
        <w:t>тп</w:t>
      </w:r>
      <w:r>
        <w:rPr>
          <w:rFonts w:eastAsia="Times New Roman" w:cs="Times New Roman"/>
        </w:rPr>
        <w:t xml:space="preserve"> = 224 · 4 · 20 022 / 14 144 = 1 268 тыс. руб.;</w:t>
        <w:tab/>
        <w:t>(4)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N</w:t>
      </w:r>
      <w:r>
        <w:rPr>
          <w:rFonts w:eastAsia="Times New Roman" w:cs="Times New Roman"/>
          <w:vertAlign w:val="subscript"/>
        </w:rPr>
        <w:t>общ</w:t>
      </w:r>
      <w:r>
        <w:rPr>
          <w:rFonts w:eastAsia="Times New Roman" w:cs="Times New Roman"/>
        </w:rPr>
        <w:t xml:space="preserve"> = 1 268 362 / (12 312 · 9,0/12) = 137 чел.</w:t>
        <w:tab/>
        <w:t>(5)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Полученное значение — среднесписочная численность работающих. По графику движения рабочих кадров (Приложение А) максимальное число рабочих N</w:t>
      </w:r>
      <w:r>
        <w:rPr>
          <w:rFonts w:eastAsia="Times New Roman" w:cs="Times New Roman"/>
          <w:vertAlign w:val="subscript"/>
        </w:rPr>
        <w:t>max</w:t>
      </w:r>
      <w:r>
        <w:rPr>
          <w:rFonts w:eastAsia="Times New Roman" w:cs="Times New Roman"/>
        </w:rPr>
        <w:t xml:space="preserve"> = 156 чел., среднее N</w:t>
      </w:r>
      <w:r>
        <w:rPr>
          <w:rFonts w:eastAsia="Times New Roman" w:cs="Times New Roman"/>
          <w:vertAlign w:val="subscript"/>
        </w:rPr>
        <w:t>ср</w:t>
      </w:r>
      <w:r>
        <w:rPr>
          <w:rFonts w:eastAsia="Times New Roman" w:cs="Times New Roman"/>
        </w:rPr>
        <w:t xml:space="preserve"> = 108 чел., коэффициент неравномерности α = N</w:t>
      </w:r>
      <w:r>
        <w:rPr>
          <w:rFonts w:eastAsia="Times New Roman" w:cs="Times New Roman"/>
          <w:vertAlign w:val="subscript"/>
        </w:rPr>
        <w:t>max</w:t>
      </w:r>
      <w:r>
        <w:rPr>
          <w:rFonts w:eastAsia="Times New Roman" w:cs="Times New Roman"/>
        </w:rPr>
        <w:t xml:space="preserve"> / N</w:t>
      </w:r>
      <w:r>
        <w:rPr>
          <w:rFonts w:eastAsia="Times New Roman" w:cs="Times New Roman"/>
          <w:vertAlign w:val="subscript"/>
        </w:rPr>
        <w:t>ср</w:t>
      </w:r>
      <w:r>
        <w:rPr>
          <w:rFonts w:eastAsia="Times New Roman" w:cs="Times New Roman"/>
        </w:rPr>
        <w:t xml:space="preserve"> = 1,44 ≤ 1,5. Численность работающих по категориям (таблица 9) определена по соотношению: рабочие — 84,5 %, ИТР — 11 %, служащие — 3,2 %, МОП и охрана — 1,3 %.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9 – Численность работающих по категориям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1"/>
        <w:gridCol w:w="1134"/>
        <w:gridCol w:w="2267"/>
        <w:gridCol w:w="1814"/>
        <w:gridCol w:w="2099"/>
      </w:tblGrid>
      <w:tr>
        <w:trPr>
          <w:tblHeader w:val="true"/>
        </w:trPr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Категория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Доля, %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Среднесписочная (по выработке), чел.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Максимальная, чел.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В наиболее многочисленную смену, чел.</w:t>
            </w:r>
          </w:p>
        </w:tc>
      </w:tr>
      <w:tr>
        <w:trPr/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Рабочие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84,5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116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156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110</w:t>
            </w:r>
          </w:p>
        </w:tc>
      </w:tr>
      <w:tr>
        <w:trPr/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ИТР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11,0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</w:tr>
      <w:tr>
        <w:trPr/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Служащие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3,2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МОП и охрана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1,3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137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186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135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  <w:sz w:val="24"/>
        </w:rPr>
        <w:t>Численность в наиболее многочисленную смену принята: рабочих — 70 %, ИТР, служащих, МОП и охраны — 80 % от максимальной численности.</w:t>
      </w:r>
    </w:p>
    <w:p>
      <w:pPr>
        <w:pStyle w:val="Heading2"/>
        <w:rPr/>
      </w:pPr>
      <w:bookmarkStart w:id="24" w:name="__RefHeading___Toc11555_1443700011"/>
      <w:bookmarkEnd w:id="24"/>
      <w:r>
        <w:rPr>
          <w:rFonts w:eastAsia="Times New Roman" w:cs="Times New Roman"/>
        </w:rPr>
        <w:t>11.2 Потребность в основных строительных машинах, механизмах и транспортных средствах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Выбор монтажного крана. Монтаж надземной части ведётся башенным краном на рельсовом ходу, установленным вдоль южного фасада. Требуемые параметры определены для наиболее тяжёлого элемента — панели перекрытия массой 7,76 т — и для наиболее высоко расположенного элемента — плиты покрытия машинного помещения лифта (рисунок 2).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Q</w:t>
      </w:r>
      <w:r>
        <w:rPr>
          <w:rFonts w:eastAsia="Times New Roman" w:cs="Times New Roman"/>
          <w:vertAlign w:val="subscript"/>
        </w:rPr>
        <w:t>тр</w:t>
      </w:r>
      <w:r>
        <w:rPr>
          <w:rFonts w:eastAsia="Times New Roman" w:cs="Times New Roman"/>
        </w:rPr>
        <w:t xml:space="preserve"> = m</w:t>
      </w:r>
      <w:r>
        <w:rPr>
          <w:rFonts w:eastAsia="Times New Roman" w:cs="Times New Roman"/>
          <w:vertAlign w:val="subscript"/>
        </w:rPr>
        <w:t>э</w:t>
      </w:r>
      <w:r>
        <w:rPr>
          <w:rFonts w:eastAsia="Times New Roman" w:cs="Times New Roman"/>
        </w:rPr>
        <w:t xml:space="preserve"> + m</w:t>
      </w:r>
      <w:r>
        <w:rPr>
          <w:rFonts w:eastAsia="Times New Roman" w:cs="Times New Roman"/>
          <w:vertAlign w:val="subscript"/>
        </w:rPr>
        <w:t>с</w:t>
      </w:r>
      <w:r>
        <w:rPr>
          <w:rFonts w:eastAsia="Times New Roman" w:cs="Times New Roman"/>
        </w:rPr>
        <w:t xml:space="preserve"> = 7,76 + 0,24 = 8,0 т,</w:t>
        <w:tab/>
        <w:t>(6)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m</w:t>
      </w:r>
      <w:r>
        <w:rPr>
          <w:rFonts w:eastAsia="Times New Roman" w:cs="Times New Roman"/>
          <w:vertAlign w:val="subscript"/>
        </w:rPr>
        <w:t>э</w:t>
      </w:r>
      <w:r>
        <w:rPr>
          <w:rFonts w:eastAsia="Times New Roman" w:cs="Times New Roman"/>
        </w:rPr>
        <w:t xml:space="preserve"> — масса монтируемого элемента, т;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m</w:t>
      </w:r>
      <w:r>
        <w:rPr>
          <w:rFonts w:eastAsia="Times New Roman" w:cs="Times New Roman"/>
          <w:vertAlign w:val="subscript"/>
        </w:rPr>
        <w:t>с</w:t>
      </w:r>
      <w:r>
        <w:rPr>
          <w:rFonts w:eastAsia="Times New Roman" w:cs="Times New Roman"/>
        </w:rPr>
        <w:t xml:space="preserve"> — масса грузозахватного приспособления (траверса со стропом 4СК-10), т.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H</w:t>
      </w:r>
      <w:r>
        <w:rPr>
          <w:rFonts w:eastAsia="Times New Roman" w:cs="Times New Roman"/>
          <w:vertAlign w:val="subscript"/>
        </w:rPr>
        <w:t>тр</w:t>
      </w:r>
      <w:r>
        <w:rPr>
          <w:rFonts w:eastAsia="Times New Roman" w:cs="Times New Roman"/>
        </w:rPr>
        <w:t xml:space="preserve"> = h</w:t>
      </w:r>
      <w:r>
        <w:rPr>
          <w:rFonts w:eastAsia="Times New Roman" w:cs="Times New Roman"/>
          <w:vertAlign w:val="subscript"/>
        </w:rPr>
        <w:t>0</w:t>
      </w:r>
      <w:r>
        <w:rPr>
          <w:rFonts w:eastAsia="Times New Roman" w:cs="Times New Roman"/>
        </w:rPr>
        <w:t xml:space="preserve"> + h</w:t>
      </w:r>
      <w:r>
        <w:rPr>
          <w:rFonts w:eastAsia="Times New Roman" w:cs="Times New Roman"/>
          <w:vertAlign w:val="subscript"/>
        </w:rPr>
        <w:t>з</w:t>
      </w:r>
      <w:r>
        <w:rPr>
          <w:rFonts w:eastAsia="Times New Roman" w:cs="Times New Roman"/>
        </w:rPr>
        <w:t xml:space="preserve"> + h</w:t>
      </w:r>
      <w:r>
        <w:rPr>
          <w:rFonts w:eastAsia="Times New Roman" w:cs="Times New Roman"/>
          <w:vertAlign w:val="subscript"/>
        </w:rPr>
        <w:t>э</w:t>
      </w:r>
      <w:r>
        <w:rPr>
          <w:rFonts w:eastAsia="Times New Roman" w:cs="Times New Roman"/>
        </w:rPr>
        <w:t xml:space="preserve"> + h</w:t>
      </w:r>
      <w:r>
        <w:rPr>
          <w:rFonts w:eastAsia="Times New Roman" w:cs="Times New Roman"/>
          <w:vertAlign w:val="subscript"/>
        </w:rPr>
        <w:t>с</w:t>
      </w:r>
      <w:r>
        <w:rPr>
          <w:rFonts w:eastAsia="Times New Roman" w:cs="Times New Roman"/>
        </w:rPr>
        <w:t xml:space="preserve"> = 32,43 + 0,5 + 0,2 + 4,0 = 37,13 м,</w:t>
        <w:tab/>
        <w:t>(7)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h</w:t>
      </w:r>
      <w:r>
        <w:rPr>
          <w:rFonts w:eastAsia="Times New Roman" w:cs="Times New Roman"/>
          <w:vertAlign w:val="subscript"/>
        </w:rPr>
        <w:t>0</w:t>
      </w:r>
      <w:r>
        <w:rPr>
          <w:rFonts w:eastAsia="Times New Roman" w:cs="Times New Roman"/>
        </w:rPr>
        <w:t xml:space="preserve"> — превышение опоры элемента (отм. +31,330) над уровнем стоянки крана (отм. −1,100), м;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h</w:t>
      </w:r>
      <w:r>
        <w:rPr>
          <w:rFonts w:eastAsia="Times New Roman" w:cs="Times New Roman"/>
          <w:vertAlign w:val="subscript"/>
        </w:rPr>
        <w:t>з</w:t>
      </w:r>
      <w:r>
        <w:rPr>
          <w:rFonts w:eastAsia="Times New Roman" w:cs="Times New Roman"/>
        </w:rPr>
        <w:t xml:space="preserve"> = 0,5 м — запас по высоте; h</w:t>
      </w:r>
      <w:r>
        <w:rPr>
          <w:rFonts w:eastAsia="Times New Roman" w:cs="Times New Roman"/>
          <w:vertAlign w:val="subscript"/>
        </w:rPr>
        <w:t>э</w:t>
      </w:r>
      <w:r>
        <w:rPr>
          <w:rFonts w:eastAsia="Times New Roman" w:cs="Times New Roman"/>
        </w:rPr>
        <w:t xml:space="preserve"> — высота элемента, м; h</w:t>
      </w:r>
      <w:r>
        <w:rPr>
          <w:rFonts w:eastAsia="Times New Roman" w:cs="Times New Roman"/>
          <w:vertAlign w:val="subscript"/>
        </w:rPr>
        <w:t>с</w:t>
      </w:r>
      <w:r>
        <w:rPr>
          <w:rFonts w:eastAsia="Times New Roman" w:cs="Times New Roman"/>
        </w:rPr>
        <w:t xml:space="preserve"> = 4,0 м — высота строповки.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L</w:t>
      </w:r>
      <w:r>
        <w:rPr>
          <w:rFonts w:eastAsia="Times New Roman" w:cs="Times New Roman"/>
          <w:vertAlign w:val="subscript"/>
        </w:rPr>
        <w:t>тр</w:t>
      </w:r>
      <w:r>
        <w:rPr>
          <w:rFonts w:eastAsia="Times New Roman" w:cs="Times New Roman"/>
        </w:rPr>
        <w:t xml:space="preserve"> = b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 xml:space="preserve"> + b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 xml:space="preserve"> + B = 4,7 + 1,2 + 11,2 = 17,1 м,</w:t>
        <w:tab/>
        <w:t>(8)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b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 xml:space="preserve"> = r</w:t>
      </w:r>
      <w:r>
        <w:rPr>
          <w:rFonts w:eastAsia="Times New Roman" w:cs="Times New Roman"/>
          <w:vertAlign w:val="subscript"/>
        </w:rPr>
        <w:t>пов</w:t>
      </w:r>
      <w:r>
        <w:rPr>
          <w:rFonts w:eastAsia="Times New Roman" w:cs="Times New Roman"/>
        </w:rPr>
        <w:t xml:space="preserve"> + 0,7 = 4,0 + 0,7 = 4,7 м — расстояние от оси крана до выступающих частей здания (радиус поворотной части крана и зазор 0,7 м по ФНП ПС);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b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 xml:space="preserve"> = 1,2 м — вынос лоджий и ограждений;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B — расстояние от фасада до центра тяжести наиболее удалённого элемента, м.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Вылет при монтаже наиболее удалённой плиты перекрытия — 14,0 м, требуемый грузовой момент M = 8,0 · 14,0 = 112 т·м.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Принят кран КБ-405.1А (в северном исполнении либо с допуском к работе при низких температурах по паспорту): грузоподъёмность 10 т на вылете до 18 м и 7,5 т на максимальном вылете 25 м, высота подъёма 46 м на максимальном вылете, грузовой момент 187,5 т·м, колея 6 м, установленная мощность 101,7 кВт, масса 113,1 т. Условия подбора выполнены: Q = 10 т &gt; 8,0 т при L = 17,1 м &lt; 18 м; H = 46 м &gt; 37,13 м; M = 187,5 т·м &gt; 112 т·м. Для удержания опасной зоны в границах площадки рабочий вылет ограничивается 18 м.</w:t>
      </w:r>
    </w:p>
    <w:p>
      <w:pPr>
        <w:pStyle w:val="Normal"/>
        <w:keepNext w:val="true"/>
        <w:ind w:hanging="0"/>
        <w:jc w:val="center"/>
        <w:rPr/>
      </w:pPr>
      <w:r>
        <w:rPr/>
        <w:drawing>
          <wp:inline distT="0" distB="0" distL="0" distR="0">
            <wp:extent cx="4500245" cy="591185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</w:rPr>
        <w:t>Рисунок 2 – Схема к определению требуемых параметров башенного крана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Длина подкранового пути: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l</w:t>
      </w:r>
      <w:r>
        <w:rPr>
          <w:rFonts w:eastAsia="Times New Roman" w:cs="Times New Roman"/>
          <w:vertAlign w:val="subscript"/>
        </w:rPr>
        <w:t>пп</w:t>
      </w:r>
      <w:r>
        <w:rPr>
          <w:rFonts w:eastAsia="Times New Roman" w:cs="Times New Roman"/>
        </w:rPr>
        <w:t xml:space="preserve"> = l</w:t>
      </w:r>
      <w:r>
        <w:rPr>
          <w:rFonts w:eastAsia="Times New Roman" w:cs="Times New Roman"/>
          <w:vertAlign w:val="subscript"/>
        </w:rPr>
        <w:t>кр</w:t>
      </w:r>
      <w:r>
        <w:rPr>
          <w:rFonts w:eastAsia="Times New Roman" w:cs="Times New Roman"/>
        </w:rPr>
        <w:t xml:space="preserve"> + B</w:t>
      </w:r>
      <w:r>
        <w:rPr>
          <w:rFonts w:eastAsia="Times New Roman" w:cs="Times New Roman"/>
          <w:vertAlign w:val="subscript"/>
        </w:rPr>
        <w:t>кр</w:t>
      </w:r>
      <w:r>
        <w:rPr>
          <w:rFonts w:eastAsia="Times New Roman" w:cs="Times New Roman"/>
        </w:rPr>
        <w:t xml:space="preserve"> + 2l</w:t>
      </w:r>
      <w:r>
        <w:rPr>
          <w:rFonts w:eastAsia="Times New Roman" w:cs="Times New Roman"/>
          <w:vertAlign w:val="subscript"/>
        </w:rPr>
        <w:t>торм</w:t>
      </w:r>
      <w:r>
        <w:rPr>
          <w:rFonts w:eastAsia="Times New Roman" w:cs="Times New Roman"/>
        </w:rPr>
        <w:t xml:space="preserve"> + 2l</w:t>
      </w:r>
      <w:r>
        <w:rPr>
          <w:rFonts w:eastAsia="Times New Roman" w:cs="Times New Roman"/>
          <w:vertAlign w:val="subscript"/>
        </w:rPr>
        <w:t>туп</w:t>
      </w:r>
      <w:r>
        <w:rPr>
          <w:rFonts w:eastAsia="Times New Roman" w:cs="Times New Roman"/>
        </w:rPr>
        <w:t xml:space="preserve"> = 99,6 + 6,0 + 2 · 1,5 + 2 · 0,5 = 109,6 м,</w:t>
        <w:tab/>
        <w:t>(9)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l</w:t>
      </w:r>
      <w:r>
        <w:rPr>
          <w:rFonts w:eastAsia="Times New Roman" w:cs="Times New Roman"/>
          <w:vertAlign w:val="subscript"/>
        </w:rPr>
        <w:t>кр</w:t>
      </w:r>
      <w:r>
        <w:rPr>
          <w:rFonts w:eastAsia="Times New Roman" w:cs="Times New Roman"/>
        </w:rPr>
        <w:t xml:space="preserve"> = L</w:t>
      </w:r>
      <w:r>
        <w:rPr>
          <w:rFonts w:eastAsia="Times New Roman" w:cs="Times New Roman"/>
          <w:vertAlign w:val="subscript"/>
        </w:rPr>
        <w:t>зд</w:t>
      </w:r>
      <w:r>
        <w:rPr>
          <w:rFonts w:eastAsia="Times New Roman" w:cs="Times New Roman"/>
        </w:rPr>
        <w:t xml:space="preserve"> − 2Δ = 110,8 − 2 · 5,6 = 99,6 м — расстояние между крайними стоянками крана; Δ = √(R² − L</w:t>
      </w:r>
      <w:r>
        <w:rPr>
          <w:rFonts w:eastAsia="Times New Roman" w:cs="Times New Roman"/>
          <w:vertAlign w:val="subscript"/>
        </w:rPr>
        <w:t>тр</w:t>
      </w:r>
      <w:r>
        <w:rPr>
          <w:rFonts w:eastAsia="Times New Roman" w:cs="Times New Roman"/>
        </w:rPr>
        <w:t>²) = √(18² − 17,1²) = 5,6 м — смещение крайней стоянки внутрь здания;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B</w:t>
      </w:r>
      <w:r>
        <w:rPr>
          <w:rFonts w:eastAsia="Times New Roman" w:cs="Times New Roman"/>
          <w:vertAlign w:val="subscript"/>
        </w:rPr>
        <w:t>кр</w:t>
      </w:r>
      <w:r>
        <w:rPr>
          <w:rFonts w:eastAsia="Times New Roman" w:cs="Times New Roman"/>
        </w:rPr>
        <w:t xml:space="preserve"> = 6,0 м — база крана; l</w:t>
      </w:r>
      <w:r>
        <w:rPr>
          <w:rFonts w:eastAsia="Times New Roman" w:cs="Times New Roman"/>
          <w:vertAlign w:val="subscript"/>
        </w:rPr>
        <w:t>торм</w:t>
      </w:r>
      <w:r>
        <w:rPr>
          <w:rFonts w:eastAsia="Times New Roman" w:cs="Times New Roman"/>
        </w:rPr>
        <w:t xml:space="preserve"> = 1,5 м — тормозной путь; l</w:t>
      </w:r>
      <w:r>
        <w:rPr>
          <w:rFonts w:eastAsia="Times New Roman" w:cs="Times New Roman"/>
          <w:vertAlign w:val="subscript"/>
        </w:rPr>
        <w:t>туп</w:t>
      </w:r>
      <w:r>
        <w:rPr>
          <w:rFonts w:eastAsia="Times New Roman" w:cs="Times New Roman"/>
        </w:rPr>
        <w:t xml:space="preserve"> = 0,5 м — расстояние до тупиковых упоров.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Принято 9 звеньев по 12,5 м, l</w:t>
      </w:r>
      <w:r>
        <w:rPr>
          <w:rFonts w:eastAsia="Times New Roman" w:cs="Times New Roman"/>
          <w:vertAlign w:val="subscript"/>
        </w:rPr>
        <w:t>пп</w:t>
      </w:r>
      <w:r>
        <w:rPr>
          <w:rFonts w:eastAsia="Times New Roman" w:cs="Times New Roman"/>
        </w:rPr>
        <w:t xml:space="preserve"> = 112,5 м.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Транспорт для доставки сборных конструкций. Масса сборных элементов — 13 976 т (3 164 элемента), монтаж — 69 рабочих дней в две смены; суточная потребность в перевозке: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Q</w:t>
      </w:r>
      <w:r>
        <w:rPr>
          <w:rFonts w:eastAsia="Times New Roman" w:cs="Times New Roman"/>
          <w:vertAlign w:val="subscript"/>
        </w:rPr>
        <w:t>сут</w:t>
      </w:r>
      <w:r>
        <w:rPr>
          <w:rFonts w:eastAsia="Times New Roman" w:cs="Times New Roman"/>
        </w:rPr>
        <w:t xml:space="preserve"> = 13 976 / 69 = 203 т/сут.</w:t>
        <w:tab/>
        <w:t>(10)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Продолжительность рейса панелевоза (полуприцеп г/п 16 т, коэффициент использования грузоподъёмности 0,8 — загрузка 12,8 т; расстояние 12 км, средняя скорость в зимних условиях 20 км/ч):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t</w:t>
      </w:r>
      <w:r>
        <w:rPr>
          <w:rFonts w:eastAsia="Times New Roman" w:cs="Times New Roman"/>
          <w:vertAlign w:val="subscript"/>
        </w:rPr>
        <w:t>ц</w:t>
      </w:r>
      <w:r>
        <w:rPr>
          <w:rFonts w:eastAsia="Times New Roman" w:cs="Times New Roman"/>
        </w:rPr>
        <w:t xml:space="preserve"> = t</w:t>
      </w:r>
      <w:r>
        <w:rPr>
          <w:rFonts w:eastAsia="Times New Roman" w:cs="Times New Roman"/>
          <w:vertAlign w:val="subscript"/>
        </w:rPr>
        <w:t>п</w:t>
      </w:r>
      <w:r>
        <w:rPr>
          <w:rFonts w:eastAsia="Times New Roman" w:cs="Times New Roman"/>
        </w:rPr>
        <w:t xml:space="preserve"> + 2L/v + t</w:t>
      </w:r>
      <w:r>
        <w:rPr>
          <w:rFonts w:eastAsia="Times New Roman" w:cs="Times New Roman"/>
          <w:vertAlign w:val="subscript"/>
        </w:rPr>
        <w:t>р</w:t>
      </w:r>
      <w:r>
        <w:rPr>
          <w:rFonts w:eastAsia="Times New Roman" w:cs="Times New Roman"/>
        </w:rPr>
        <w:t xml:space="preserve"> + t</w:t>
      </w:r>
      <w:r>
        <w:rPr>
          <w:rFonts w:eastAsia="Times New Roman" w:cs="Times New Roman"/>
          <w:vertAlign w:val="subscript"/>
        </w:rPr>
        <w:t>м</w:t>
      </w:r>
      <w:r>
        <w:rPr>
          <w:rFonts w:eastAsia="Times New Roman" w:cs="Times New Roman"/>
        </w:rPr>
        <w:t xml:space="preserve"> = 0,4 + 2 · 12/20 + 1,0 + 0,2 = 2,8 ч,</w:t>
        <w:tab/>
        <w:t>(11)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t</w:t>
      </w:r>
      <w:r>
        <w:rPr>
          <w:rFonts w:eastAsia="Times New Roman" w:cs="Times New Roman"/>
          <w:vertAlign w:val="subscript"/>
        </w:rPr>
        <w:t>п</w:t>
      </w:r>
      <w:r>
        <w:rPr>
          <w:rFonts w:eastAsia="Times New Roman" w:cs="Times New Roman"/>
        </w:rPr>
        <w:t xml:space="preserve"> — погрузка; t</w:t>
      </w:r>
      <w:r>
        <w:rPr>
          <w:rFonts w:eastAsia="Times New Roman" w:cs="Times New Roman"/>
          <w:vertAlign w:val="subscript"/>
        </w:rPr>
        <w:t>р</w:t>
      </w:r>
      <w:r>
        <w:rPr>
          <w:rFonts w:eastAsia="Times New Roman" w:cs="Times New Roman"/>
        </w:rPr>
        <w:t xml:space="preserve"> — разгрузка (монтаж с транспортных средств или на склад); t</w:t>
      </w:r>
      <w:r>
        <w:rPr>
          <w:rFonts w:eastAsia="Times New Roman" w:cs="Times New Roman"/>
          <w:vertAlign w:val="subscript"/>
        </w:rPr>
        <w:t>м</w:t>
      </w:r>
      <w:r>
        <w:rPr>
          <w:rFonts w:eastAsia="Times New Roman" w:cs="Times New Roman"/>
        </w:rPr>
        <w:t xml:space="preserve"> — маневрирование, ч.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Число рейсов за смену — 8 · 0,85 / 2,8 = 2,4 → 2; производительность панелевоза — 2 · 2 · 12,8 = 51,2 т/сут. Требуемое число панелевозов — 203 / 51,2 = 3,96 → 4 шт. и один резервный на случай метелей и отказов техники в мороз.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Автобетоносмесители для ростверка (7 м³, выдача 38 м³ в смену, расстояние 8 км): t</w:t>
      </w:r>
      <w:r>
        <w:rPr>
          <w:rFonts w:eastAsia="Times New Roman" w:cs="Times New Roman"/>
          <w:vertAlign w:val="subscript"/>
        </w:rPr>
        <w:t>ц</w:t>
      </w:r>
      <w:r>
        <w:rPr>
          <w:rFonts w:eastAsia="Times New Roman" w:cs="Times New Roman"/>
        </w:rPr>
        <w:t xml:space="preserve"> = 0,25 + 2 · 8/20 + 0,4 + 0,15 = 1,6 ч; 4 рейса в смену по 5,95 м³ — требуется 2 автобетоносмесителя.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Состав основных машин, механизмов и транспортных средств приведён в таблице 10.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10 – Ведомость основных строительных машин, механизмов и транспортных средств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"/>
        <w:gridCol w:w="2041"/>
        <w:gridCol w:w="2268"/>
        <w:gridCol w:w="2438"/>
        <w:gridCol w:w="907"/>
        <w:gridCol w:w="1247"/>
      </w:tblGrid>
      <w:tr>
        <w:trPr>
          <w:tblHeader w:val="true"/>
        </w:trPr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Наименование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Марка, тип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Кол.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Период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Кран башенный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КБ-405.1А (исп. ХЛ)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монтаж надземной части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21.02–04.06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Кран автомобильный 25 т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КС-55713 «Галичанин» (ХЛ)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установка свай, ростверк, монтаж крана, разгрузка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13.12–15.03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Кран автомобильный 25 т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КС-55713 «Галичанин» (ХЛ)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кровля, демонтаж крана, сети, благоустройство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16.03–25.08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Буровая установка для мёрзлых грунтов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шнековая, D до 600 мм, глубина до 15 м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бурение скважин под сваи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13.12–04.02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Бульдозер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Б10М (ХЛ)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планировка, уборка снега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01.12–25.08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Погрузчик фронтальный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Амкодор 342В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уборка и вывоз снега, ПРР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01.12–15.06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Экскаватор-погрузчик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JCB 3CX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траншеи, заземление, благоустройство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01.12–25.08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Автобетоносмеситель 7 м³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 шасси КамАЗ (утеплённый барабан)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доставка бетона и раствора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13.12–29.02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Автобетононасос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стрела 24 м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бетонирование ростверка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10.01–29.02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Панелевоз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полуприцеп-панелевоз 16 т + тягач КамАЗ-65116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доставка сборных конструкций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 + 1 рез.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21.02–31.05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11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Автосамосвал 15 т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КамАЗ-65115 (ХЛ)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щебень, вывоз грунта и снега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01.12–25.08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Бортовой автомобиль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КамАЗ-43118 (ХЛ)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доставка материалов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01.12–31.08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Автобус вахтовый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НефАЗ-4208 на шасси КамАЗ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перевозка работающих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01.12–31.08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14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Топливозаправщик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АТЗ-10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заправка машин на площадке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01.12–31.08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15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Теплогенератор дизельный 50 кВт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непрямого нагрева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тепляки ростверка и стыков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10.01–15.04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16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Компрессорная станция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ПКСД-5,25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пневмоинструмент, продувка скважин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13.12–30.06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17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Подъёмник мачтовый грузопассажирский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г/п 1,0 т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подача материалов на этажи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01.05–20.08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18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Сварочный аппарат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инверторный 315 А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сварка закладных и арматуры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10.01–31.07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19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Трансформатор для прогрева бетона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КТПТО-80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электропрогрев ростверка и стыков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10.01–15.04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20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Штукатурная (растворная) станция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производительность 2–3 м³/ч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стяжки, штукатурка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01.05–20.08</w:t>
            </w:r>
          </w:p>
        </w:tc>
      </w:tr>
      <w:tr>
        <w:trPr/>
        <w:tc>
          <w:tcPr>
            <w:tcW w:w="45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21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Люлька фасадная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ЛЭ-100-300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герметизация стыков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01.05–10.06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Heading2"/>
        <w:rPr/>
      </w:pPr>
      <w:bookmarkStart w:id="25" w:name="__RefHeading___Toc11557_1443700011"/>
      <w:bookmarkEnd w:id="25"/>
      <w:r>
        <w:rPr>
          <w:rFonts w:eastAsia="Times New Roman" w:cs="Times New Roman"/>
        </w:rPr>
        <w:t>11.3 Потребность в топливе и горюче-смазочных материалах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Потребность в дизельном топливе определена по числу машино-часов (по календарному плану) и средним нормам расхода с зимней надбавкой 10 % (для автомобилей — по методическим рекомендациям, введённым распоряжением Минтранса России от 14.03.2008 № АМ-23-р, для строительных машин — по паспортным данным). Применяется арктическое дизельное топливо (ДТ-А по ГОСТ 305-2013 или арктических классов по ГОСТ 32511-2013). Расчёт — в таблице 11.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11 – Потребность в дизельном топливе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60"/>
        <w:gridCol w:w="1305"/>
        <w:gridCol w:w="624"/>
        <w:gridCol w:w="1133"/>
        <w:gridCol w:w="1304"/>
        <w:gridCol w:w="1928"/>
      </w:tblGrid>
      <w:tr>
        <w:trPr>
          <w:tblHeader w:val="true"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Машина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Период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Кол.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Маш.-ч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Норма, л/маш.-ч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Расход с надбавкой, л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Кран автомобильный 25 т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13.12–15.03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1 680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12,0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22 176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Кран автомобильный 25 т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16.03–25.08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684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12,0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9 029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Буровая установка для мёрзлых грунтов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13.12–04.02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952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28,0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29 322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Бульдозер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01.12–25.08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455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18,0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9 009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Погрузчик фронтальный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01.12–15.06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655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12,0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8 646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Экскаватор-погрузчик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01.12–25.08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364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8,0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3 203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Автобетоносмеситель 7 м³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13.12–29.02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700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14,0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10 780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Автобетононасос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10.01–29.02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15,0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1 782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Панелевоз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21.02–31.05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4 140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14,0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63 756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Автосамосвал 15 т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01.12–25.08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1 092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15,0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18 018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Бортовой автомобиль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01.12–31.08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1 488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16 368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Автобус вахтовый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01.12–31.08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1 488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12,0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19 642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Топливозаправщик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01.12–31.08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186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2 046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Теплогенератор дизельный 50 кВт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10.01–15.04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4 352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5,5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26 330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Компрессорная станция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13.12–30.06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536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10,0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5 896</w:t>
            </w:r>
          </w:p>
        </w:tc>
      </w:tr>
      <w:tr>
        <w:trPr/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Итого дизельное топливо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246 002 л (206,6 т)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Смазочные материалы — 10,3 т (5 % массы топлива), бензин для малой механизации — около 2,5 м³. Заправка машин — топливозаправщиком АТЗ-10 на площадке с твёрдым покрытием и поддонами; хранение топлива на стройплощадке не предусматривается.</w:t>
      </w:r>
    </w:p>
    <w:p>
      <w:pPr>
        <w:pStyle w:val="Heading2"/>
        <w:rPr/>
      </w:pPr>
      <w:bookmarkStart w:id="26" w:name="__RefHeading___Toc11559_1443700011"/>
      <w:bookmarkEnd w:id="26"/>
      <w:r>
        <w:rPr>
          <w:rFonts w:eastAsia="Times New Roman" w:cs="Times New Roman"/>
        </w:rPr>
        <w:t>11.4 Потребность в электрической энергии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Расчётная мощность определена для периода максимального потребления — марта 2028 г. (работа башенного крана, электропрогрев бетона ростверка и стыков, электроотопление инвентарных зданий, освещение в тёмное время суток):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P</w:t>
      </w:r>
      <w:r>
        <w:rPr>
          <w:rFonts w:eastAsia="Times New Roman" w:cs="Times New Roman"/>
          <w:vertAlign w:val="subscript"/>
        </w:rPr>
        <w:t>р</w:t>
      </w:r>
      <w:r>
        <w:rPr>
          <w:rFonts w:eastAsia="Times New Roman" w:cs="Times New Roman"/>
        </w:rPr>
        <w:t xml:space="preserve"> = α (ΣK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>P</w:t>
      </w:r>
      <w:r>
        <w:rPr>
          <w:rFonts w:eastAsia="Times New Roman" w:cs="Times New Roman"/>
          <w:vertAlign w:val="subscript"/>
        </w:rPr>
        <w:t>с</w:t>
      </w:r>
      <w:r>
        <w:rPr>
          <w:rFonts w:eastAsia="Times New Roman" w:cs="Times New Roman"/>
        </w:rPr>
        <w:t>/cosφ + ΣK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>P</w:t>
      </w:r>
      <w:r>
        <w:rPr>
          <w:rFonts w:eastAsia="Times New Roman" w:cs="Times New Roman"/>
          <w:vertAlign w:val="subscript"/>
        </w:rPr>
        <w:t>т</w:t>
      </w:r>
      <w:r>
        <w:rPr>
          <w:rFonts w:eastAsia="Times New Roman" w:cs="Times New Roman"/>
        </w:rPr>
        <w:t>/cosφ + ΣK</w:t>
      </w:r>
      <w:r>
        <w:rPr>
          <w:rFonts w:eastAsia="Times New Roman" w:cs="Times New Roman"/>
          <w:vertAlign w:val="subscript"/>
        </w:rPr>
        <w:t>3</w:t>
      </w:r>
      <w:r>
        <w:rPr>
          <w:rFonts w:eastAsia="Times New Roman" w:cs="Times New Roman"/>
        </w:rPr>
        <w:t>P</w:t>
      </w:r>
      <w:r>
        <w:rPr>
          <w:rFonts w:eastAsia="Times New Roman" w:cs="Times New Roman"/>
          <w:vertAlign w:val="subscript"/>
        </w:rPr>
        <w:t>ов</w:t>
      </w:r>
      <w:r>
        <w:rPr>
          <w:rFonts w:eastAsia="Times New Roman" w:cs="Times New Roman"/>
        </w:rPr>
        <w:t xml:space="preserve"> + ΣP</w:t>
      </w:r>
      <w:r>
        <w:rPr>
          <w:rFonts w:eastAsia="Times New Roman" w:cs="Times New Roman"/>
          <w:vertAlign w:val="subscript"/>
        </w:rPr>
        <w:t>он</w:t>
      </w:r>
      <w:r>
        <w:rPr>
          <w:rFonts w:eastAsia="Times New Roman" w:cs="Times New Roman"/>
        </w:rPr>
        <w:t>),</w:t>
        <w:tab/>
        <w:t>(12)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α = 1,1 — коэффициент, учитывающий потери мощности в сети;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K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>, K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>, K</w:t>
      </w:r>
      <w:r>
        <w:rPr>
          <w:rFonts w:eastAsia="Times New Roman" w:cs="Times New Roman"/>
          <w:vertAlign w:val="subscript"/>
        </w:rPr>
        <w:t>3</w:t>
      </w:r>
      <w:r>
        <w:rPr>
          <w:rFonts w:eastAsia="Times New Roman" w:cs="Times New Roman"/>
        </w:rPr>
        <w:t xml:space="preserve"> — коэффициенты спроса;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P</w:t>
      </w:r>
      <w:r>
        <w:rPr>
          <w:rFonts w:eastAsia="Times New Roman" w:cs="Times New Roman"/>
          <w:vertAlign w:val="subscript"/>
        </w:rPr>
        <w:t>с</w:t>
      </w:r>
      <w:r>
        <w:rPr>
          <w:rFonts w:eastAsia="Times New Roman" w:cs="Times New Roman"/>
        </w:rPr>
        <w:t>, P</w:t>
      </w:r>
      <w:r>
        <w:rPr>
          <w:rFonts w:eastAsia="Times New Roman" w:cs="Times New Roman"/>
          <w:vertAlign w:val="subscript"/>
        </w:rPr>
        <w:t>т</w:t>
      </w:r>
      <w:r>
        <w:rPr>
          <w:rFonts w:eastAsia="Times New Roman" w:cs="Times New Roman"/>
        </w:rPr>
        <w:t>, P</w:t>
      </w:r>
      <w:r>
        <w:rPr>
          <w:rFonts w:eastAsia="Times New Roman" w:cs="Times New Roman"/>
          <w:vertAlign w:val="subscript"/>
        </w:rPr>
        <w:t>ов</w:t>
      </w:r>
      <w:r>
        <w:rPr>
          <w:rFonts w:eastAsia="Times New Roman" w:cs="Times New Roman"/>
        </w:rPr>
        <w:t>, P</w:t>
      </w:r>
      <w:r>
        <w:rPr>
          <w:rFonts w:eastAsia="Times New Roman" w:cs="Times New Roman"/>
          <w:vertAlign w:val="subscript"/>
        </w:rPr>
        <w:t>он</w:t>
      </w:r>
      <w:r>
        <w:rPr>
          <w:rFonts w:eastAsia="Times New Roman" w:cs="Times New Roman"/>
        </w:rPr>
        <w:t xml:space="preserve"> — мощность силовых и технологических потребителей, внутреннего и наружного освещения, кВт; cosφ — коэффициент мощности.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Расчёт по потребителям приведён в таблице 12.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12 – Расчёт потребной электрической мощности (март 2028 г.)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42"/>
        <w:gridCol w:w="680"/>
        <w:gridCol w:w="1361"/>
        <w:gridCol w:w="793"/>
        <w:gridCol w:w="794"/>
        <w:gridCol w:w="1984"/>
      </w:tblGrid>
      <w:tr>
        <w:trPr>
          <w:tblHeader w:val="true"/>
        </w:trPr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Потребитель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Кол.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P ед., кВт (кВ·А)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K</w:t>
            </w:r>
            <w:r>
              <w:rPr>
                <w:rFonts w:eastAsia="Times New Roman" w:cs="Times New Roman"/>
                <w:b/>
                <w:kern w:val="0"/>
                <w:sz w:val="20"/>
                <w:szCs w:val="22"/>
                <w:vertAlign w:val="subscript"/>
                <w:lang w:val="en-US" w:eastAsia="en-US" w:bidi="ar-SA"/>
              </w:rPr>
              <w:t>с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cosφ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Расчётная мощность, кВ·А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Кран башенный КБ-405.1А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101,7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0,30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0,5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61,0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Электроинструмент, вибраторы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15,0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0,15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0,6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3,8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Насосы (водоснабжение, растворы)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2,0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0,70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0,8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3,5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Сварочные аппараты (кВ·А)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20,0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0,35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28,0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Электропрогрев бетона ростверка (КТПТО-80, кВ·А)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80,0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0,80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64,0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Электропрогрев стыков (греющий провод)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20,0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0,60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0,9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13,3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Электроотопление инвентарных зданий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70,0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0,80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56,0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Электроводонагреватели душевых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9,0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0,80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14,4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Сушильные шкафы для спецодежды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3,0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0,80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4,8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Внутреннее освещение (бытовки, строящееся здание)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18,7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0,80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15,0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Наружное освещение (прожекторы)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13,0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1,00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13,0</w:t>
            </w:r>
          </w:p>
        </w:tc>
      </w:tr>
      <w:tr>
        <w:trPr/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276,8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P</w:t>
      </w:r>
      <w:r>
        <w:rPr>
          <w:rFonts w:eastAsia="Times New Roman" w:cs="Times New Roman"/>
          <w:vertAlign w:val="subscript"/>
        </w:rPr>
        <w:t>р</w:t>
      </w:r>
      <w:r>
        <w:rPr>
          <w:rFonts w:eastAsia="Times New Roman" w:cs="Times New Roman"/>
        </w:rPr>
        <w:t xml:space="preserve"> = 1,1 · 276,8 = 304,4 кВ·А. Принимается комплектная трансформаторная подстанция КТПН-400/10/0,4 мощностью 400 кВ·А, подключаемая к городской сети 6(10) кВ по техническим условиям АО «НТЭК». Для потребителей, отключение которых недопустимо в мороз (освещение, отопление бытового городка, электропрогрев), предусматривается резервная дизельная электростанция мощностью 100 кВт.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Наружное освещение выполняется светодиодными прожекторами на мачтах и на кране; нормируемая освещённость — по ГОСТ 12.1.046-2014: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P = p · E · S · k;   n = P / P</w:t>
      </w:r>
      <w:r>
        <w:rPr>
          <w:rFonts w:eastAsia="Times New Roman" w:cs="Times New Roman"/>
          <w:vertAlign w:val="subscript"/>
        </w:rPr>
        <w:t>л</w:t>
      </w:r>
      <w:r>
        <w:rPr>
          <w:rFonts w:eastAsia="Times New Roman" w:cs="Times New Roman"/>
        </w:rPr>
        <w:t>,</w:t>
        <w:tab/>
        <w:t>(13)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p = 0,05 Вт/(м²·лк) — удельная мощность светодиодных прожекторов;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E — нормируемая освещённость, лк; S — освещаемая площадь, м²; k = 1,5 — коэффициент запаса;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P</w:t>
      </w:r>
      <w:r>
        <w:rPr>
          <w:rFonts w:eastAsia="Times New Roman" w:cs="Times New Roman"/>
          <w:vertAlign w:val="subscript"/>
        </w:rPr>
        <w:t>л</w:t>
      </w:r>
      <w:r>
        <w:rPr>
          <w:rFonts w:eastAsia="Times New Roman" w:cs="Times New Roman"/>
        </w:rPr>
        <w:t xml:space="preserve"> — мощность одного прожектора, Вт.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Расчёт по участкам приведён в таблице 13.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13 – Расчёт наружного освещения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82"/>
        <w:gridCol w:w="794"/>
        <w:gridCol w:w="1247"/>
        <w:gridCol w:w="1019"/>
        <w:gridCol w:w="1021"/>
        <w:gridCol w:w="1190"/>
      </w:tblGrid>
      <w:tr>
        <w:trPr>
          <w:tblHeader w:val="true"/>
        </w:trPr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Участок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E, лк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S, м²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P, кВт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P</w:t>
            </w:r>
            <w:r>
              <w:rPr>
                <w:rFonts w:eastAsia="Times New Roman" w:cs="Times New Roman"/>
                <w:b/>
                <w:kern w:val="0"/>
                <w:sz w:val="20"/>
                <w:szCs w:val="22"/>
                <w:vertAlign w:val="subscript"/>
                <w:lang w:val="en-US" w:eastAsia="en-US" w:bidi="ar-SA"/>
              </w:rPr>
              <w:t>л</w:t>
            </w: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, Вт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n, шт.</w:t>
            </w:r>
          </w:p>
        </w:tc>
      </w:tr>
      <w:tr>
        <w:trPr/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Территория строительства (общее равномерное)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17 000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2,55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150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17</w:t>
            </w:r>
          </w:p>
        </w:tc>
      </w:tr>
      <w:tr>
        <w:trPr/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Зона монтажа (рабочий горизонт и захватка)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4 016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9,04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300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31</w:t>
            </w:r>
          </w:p>
        </w:tc>
      </w:tr>
      <w:tr>
        <w:trPr/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Склады и места разгрузки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1 200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0,90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150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Проезды и проходы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1 000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0,38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100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Охранное освещение по периметру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2 850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0,11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50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12,97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61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Heading2"/>
        <w:rPr/>
      </w:pPr>
      <w:bookmarkStart w:id="27" w:name="__RefHeading___Toc11561_1443700011"/>
      <w:bookmarkEnd w:id="27"/>
      <w:r>
        <w:rPr>
          <w:rFonts w:eastAsia="Times New Roman" w:cs="Times New Roman"/>
        </w:rPr>
        <w:t>11.5 Потребность в воде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Производственные нужды (период максимального водопотребления — июнь–июль):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Q</w:t>
      </w:r>
      <w:r>
        <w:rPr>
          <w:rFonts w:eastAsia="Times New Roman" w:cs="Times New Roman"/>
          <w:vertAlign w:val="subscript"/>
        </w:rPr>
        <w:t>пр</w:t>
      </w:r>
      <w:r>
        <w:rPr>
          <w:rFonts w:eastAsia="Times New Roman" w:cs="Times New Roman"/>
        </w:rPr>
        <w:t xml:space="preserve"> = K</w:t>
      </w:r>
      <w:r>
        <w:rPr>
          <w:rFonts w:eastAsia="Times New Roman" w:cs="Times New Roman"/>
          <w:vertAlign w:val="subscript"/>
        </w:rPr>
        <w:t>н</w:t>
      </w:r>
      <w:r>
        <w:rPr>
          <w:rFonts w:eastAsia="Times New Roman" w:cs="Times New Roman"/>
        </w:rPr>
        <w:t xml:space="preserve"> · Σq</w:t>
      </w:r>
      <w:r>
        <w:rPr>
          <w:rFonts w:eastAsia="Times New Roman" w:cs="Times New Roman"/>
          <w:vertAlign w:val="subscript"/>
        </w:rPr>
        <w:t>п</w:t>
      </w:r>
      <w:r>
        <w:rPr>
          <w:rFonts w:eastAsia="Times New Roman" w:cs="Times New Roman"/>
        </w:rPr>
        <w:t>n</w:t>
      </w:r>
      <w:r>
        <w:rPr>
          <w:rFonts w:eastAsia="Times New Roman" w:cs="Times New Roman"/>
          <w:vertAlign w:val="subscript"/>
        </w:rPr>
        <w:t>п</w:t>
      </w:r>
      <w:r>
        <w:rPr>
          <w:rFonts w:eastAsia="Times New Roman" w:cs="Times New Roman"/>
        </w:rPr>
        <w:t xml:space="preserve"> · K</w:t>
      </w:r>
      <w:r>
        <w:rPr>
          <w:rFonts w:eastAsia="Times New Roman" w:cs="Times New Roman"/>
          <w:vertAlign w:val="subscript"/>
        </w:rPr>
        <w:t>ч</w:t>
      </w:r>
      <w:r>
        <w:rPr>
          <w:rFonts w:eastAsia="Times New Roman" w:cs="Times New Roman"/>
        </w:rPr>
        <w:t xml:space="preserve"> / (t · 3600),</w:t>
        <w:tab/>
        <w:t>(14)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K</w:t>
      </w:r>
      <w:r>
        <w:rPr>
          <w:rFonts w:eastAsia="Times New Roman" w:cs="Times New Roman"/>
          <w:vertAlign w:val="subscript"/>
        </w:rPr>
        <w:t>н</w:t>
      </w:r>
      <w:r>
        <w:rPr>
          <w:rFonts w:eastAsia="Times New Roman" w:cs="Times New Roman"/>
        </w:rPr>
        <w:t xml:space="preserve"> = 1,2 — коэффициент на неучтённые расходы; q</w:t>
      </w:r>
      <w:r>
        <w:rPr>
          <w:rFonts w:eastAsia="Times New Roman" w:cs="Times New Roman"/>
          <w:vertAlign w:val="subscript"/>
        </w:rPr>
        <w:t>п</w:t>
      </w:r>
      <w:r>
        <w:rPr>
          <w:rFonts w:eastAsia="Times New Roman" w:cs="Times New Roman"/>
        </w:rPr>
        <w:t xml:space="preserve"> — норма расхода воды на единицу объёма работ, л; n</w:t>
      </w:r>
      <w:r>
        <w:rPr>
          <w:rFonts w:eastAsia="Times New Roman" w:cs="Times New Roman"/>
          <w:vertAlign w:val="subscript"/>
        </w:rPr>
        <w:t>п</w:t>
      </w:r>
      <w:r>
        <w:rPr>
          <w:rFonts w:eastAsia="Times New Roman" w:cs="Times New Roman"/>
        </w:rPr>
        <w:t xml:space="preserve"> — объём работ в смену;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K</w:t>
      </w:r>
      <w:r>
        <w:rPr>
          <w:rFonts w:eastAsia="Times New Roman" w:cs="Times New Roman"/>
          <w:vertAlign w:val="subscript"/>
        </w:rPr>
        <w:t>ч</w:t>
      </w:r>
      <w:r>
        <w:rPr>
          <w:rFonts w:eastAsia="Times New Roman" w:cs="Times New Roman"/>
        </w:rPr>
        <w:t xml:space="preserve"> = 1,5 — коэффициент часовой неравномерности; t = 8 ч — продолжительность смены.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Объёмы водопотребления по видам работ приведены в таблице 14.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14 – Расход воды на производственные нужды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4"/>
        <w:gridCol w:w="1702"/>
        <w:gridCol w:w="1417"/>
        <w:gridCol w:w="1700"/>
      </w:tblGrid>
      <w:tr>
        <w:trPr>
          <w:tblHeader w:val="true"/>
        </w:trPr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Потребитель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Объём в смену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Норма, л/ед.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Расход, л/смену</w:t>
            </w:r>
          </w:p>
        </w:tc>
      </w:tr>
      <w:tr>
        <w:trPr/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Приготовление и затворение растворов, стяжки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20 м³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300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6 000</w:t>
            </w:r>
          </w:p>
        </w:tc>
      </w:tr>
      <w:tr>
        <w:trPr/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Малярные работы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500 м²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500</w:t>
            </w:r>
          </w:p>
        </w:tc>
      </w:tr>
      <w:tr>
        <w:trPr/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Уход за бетоном (летний период)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 м³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200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2 000</w:t>
            </w:r>
          </w:p>
        </w:tc>
      </w:tr>
      <w:tr>
        <w:trPr/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Подпитка пункта мойки колёс (оборотная система)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40 маш.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30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1 200</w:t>
            </w:r>
          </w:p>
        </w:tc>
      </w:tr>
      <w:tr>
        <w:trPr/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Заправка и охлаждение двигателей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 маш.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40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400</w:t>
            </w:r>
          </w:p>
        </w:tc>
      </w:tr>
      <w:tr>
        <w:trPr/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Полив зелёных насаждений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500 м²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5 000</w:t>
            </w:r>
          </w:p>
        </w:tc>
      </w:tr>
      <w:tr>
        <w:trPr/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15 100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Q</w:t>
      </w:r>
      <w:r>
        <w:rPr>
          <w:rFonts w:eastAsia="Times New Roman" w:cs="Times New Roman"/>
          <w:vertAlign w:val="subscript"/>
        </w:rPr>
        <w:t>пр</w:t>
      </w:r>
      <w:r>
        <w:rPr>
          <w:rFonts w:eastAsia="Times New Roman" w:cs="Times New Roman"/>
        </w:rPr>
        <w:t xml:space="preserve"> = 1,2 · 15 100 · 1,5 / (8 · 3600) = 0,94 л/с.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Хозяйственно-бытовые нужды: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Q</w:t>
      </w:r>
      <w:r>
        <w:rPr>
          <w:rFonts w:eastAsia="Times New Roman" w:cs="Times New Roman"/>
          <w:vertAlign w:val="subscript"/>
        </w:rPr>
        <w:t>хоз</w:t>
      </w:r>
      <w:r>
        <w:rPr>
          <w:rFonts w:eastAsia="Times New Roman" w:cs="Times New Roman"/>
        </w:rPr>
        <w:t xml:space="preserve"> = q</w:t>
      </w:r>
      <w:r>
        <w:rPr>
          <w:rFonts w:eastAsia="Times New Roman" w:cs="Times New Roman"/>
          <w:vertAlign w:val="subscript"/>
        </w:rPr>
        <w:t>х</w:t>
      </w:r>
      <w:r>
        <w:rPr>
          <w:rFonts w:eastAsia="Times New Roman" w:cs="Times New Roman"/>
        </w:rPr>
        <w:t>N K</w:t>
      </w:r>
      <w:r>
        <w:rPr>
          <w:rFonts w:eastAsia="Times New Roman" w:cs="Times New Roman"/>
          <w:vertAlign w:val="subscript"/>
        </w:rPr>
        <w:t>ч</w:t>
      </w:r>
      <w:r>
        <w:rPr>
          <w:rFonts w:eastAsia="Times New Roman" w:cs="Times New Roman"/>
        </w:rPr>
        <w:t xml:space="preserve"> / (t · 3600) + q</w:t>
      </w:r>
      <w:r>
        <w:rPr>
          <w:rFonts w:eastAsia="Times New Roman" w:cs="Times New Roman"/>
          <w:vertAlign w:val="subscript"/>
        </w:rPr>
        <w:t>д</w:t>
      </w:r>
      <w:r>
        <w:rPr>
          <w:rFonts w:eastAsia="Times New Roman" w:cs="Times New Roman"/>
        </w:rPr>
        <w:t>N</w:t>
      </w:r>
      <w:r>
        <w:rPr>
          <w:rFonts w:eastAsia="Times New Roman" w:cs="Times New Roman"/>
          <w:vertAlign w:val="subscript"/>
        </w:rPr>
        <w:t>д</w:t>
      </w:r>
      <w:r>
        <w:rPr>
          <w:rFonts w:eastAsia="Times New Roman" w:cs="Times New Roman"/>
        </w:rPr>
        <w:t xml:space="preserve"> / (t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 xml:space="preserve"> · 60),</w:t>
        <w:tab/>
        <w:t>(15)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q</w:t>
      </w:r>
      <w:r>
        <w:rPr>
          <w:rFonts w:eastAsia="Times New Roman" w:cs="Times New Roman"/>
          <w:vertAlign w:val="subscript"/>
        </w:rPr>
        <w:t>х</w:t>
      </w:r>
      <w:r>
        <w:rPr>
          <w:rFonts w:eastAsia="Times New Roman" w:cs="Times New Roman"/>
        </w:rPr>
        <w:t xml:space="preserve"> = 25 л — норма расхода на одного работающего в смену; N — число работающих в наиболее многочисленную смену; K</w:t>
      </w:r>
      <w:r>
        <w:rPr>
          <w:rFonts w:eastAsia="Times New Roman" w:cs="Times New Roman"/>
          <w:vertAlign w:val="subscript"/>
        </w:rPr>
        <w:t>ч</w:t>
      </w:r>
      <w:r>
        <w:rPr>
          <w:rFonts w:eastAsia="Times New Roman" w:cs="Times New Roman"/>
        </w:rPr>
        <w:t xml:space="preserve"> = 2 — коэффициент неравномерности;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q</w:t>
      </w:r>
      <w:r>
        <w:rPr>
          <w:rFonts w:eastAsia="Times New Roman" w:cs="Times New Roman"/>
          <w:vertAlign w:val="subscript"/>
        </w:rPr>
        <w:t>д</w:t>
      </w:r>
      <w:r>
        <w:rPr>
          <w:rFonts w:eastAsia="Times New Roman" w:cs="Times New Roman"/>
        </w:rPr>
        <w:t xml:space="preserve"> = 30 л — расход на один душ; N</w:t>
      </w:r>
      <w:r>
        <w:rPr>
          <w:rFonts w:eastAsia="Times New Roman" w:cs="Times New Roman"/>
          <w:vertAlign w:val="subscript"/>
        </w:rPr>
        <w:t>д</w:t>
      </w:r>
      <w:r>
        <w:rPr>
          <w:rFonts w:eastAsia="Times New Roman" w:cs="Times New Roman"/>
        </w:rPr>
        <w:t xml:space="preserve"> — число пользующихся душем (40 %); t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 xml:space="preserve"> = 45 мин — продолжительность работы душевых;</w:t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</w:rPr>
        <w:t>Q</w:t>
      </w:r>
      <w:r>
        <w:rPr>
          <w:rFonts w:eastAsia="Times New Roman" w:cs="Times New Roman"/>
          <w:vertAlign w:val="subscript"/>
        </w:rPr>
        <w:t>хоз</w:t>
      </w:r>
      <w:r>
        <w:rPr>
          <w:rFonts w:eastAsia="Times New Roman" w:cs="Times New Roman"/>
        </w:rPr>
        <w:t xml:space="preserve"> = 25 · 135 · 2 / (8 · 3600) + 30 · 54 / (45 · 60) = 0,83 л/с.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Расход на пожаротушение при площади участка до 10 га — Q</w:t>
      </w:r>
      <w:r>
        <w:rPr>
          <w:rFonts w:eastAsia="Times New Roman" w:cs="Times New Roman"/>
          <w:vertAlign w:val="subscript"/>
        </w:rPr>
        <w:t>пож</w:t>
      </w:r>
      <w:r>
        <w:rPr>
          <w:rFonts w:eastAsia="Times New Roman" w:cs="Times New Roman"/>
        </w:rPr>
        <w:t xml:space="preserve"> = 10 л/с (две струи по 5 л/с). Общий расчётный расход: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Q</w:t>
      </w:r>
      <w:r>
        <w:rPr>
          <w:rFonts w:eastAsia="Times New Roman" w:cs="Times New Roman"/>
          <w:vertAlign w:val="subscript"/>
        </w:rPr>
        <w:t>общ</w:t>
      </w:r>
      <w:r>
        <w:rPr>
          <w:rFonts w:eastAsia="Times New Roman" w:cs="Times New Roman"/>
        </w:rPr>
        <w:t xml:space="preserve"> = Q</w:t>
      </w:r>
      <w:r>
        <w:rPr>
          <w:rFonts w:eastAsia="Times New Roman" w:cs="Times New Roman"/>
          <w:vertAlign w:val="subscript"/>
        </w:rPr>
        <w:t>пож</w:t>
      </w:r>
      <w:r>
        <w:rPr>
          <w:rFonts w:eastAsia="Times New Roman" w:cs="Times New Roman"/>
        </w:rPr>
        <w:t xml:space="preserve"> + 0,5 (Q</w:t>
      </w:r>
      <w:r>
        <w:rPr>
          <w:rFonts w:eastAsia="Times New Roman" w:cs="Times New Roman"/>
          <w:vertAlign w:val="subscript"/>
        </w:rPr>
        <w:t>пр</w:t>
      </w:r>
      <w:r>
        <w:rPr>
          <w:rFonts w:eastAsia="Times New Roman" w:cs="Times New Roman"/>
        </w:rPr>
        <w:t xml:space="preserve"> + Q</w:t>
      </w:r>
      <w:r>
        <w:rPr>
          <w:rFonts w:eastAsia="Times New Roman" w:cs="Times New Roman"/>
          <w:vertAlign w:val="subscript"/>
        </w:rPr>
        <w:t>хоз</w:t>
      </w:r>
      <w:r>
        <w:rPr>
          <w:rFonts w:eastAsia="Times New Roman" w:cs="Times New Roman"/>
        </w:rPr>
        <w:t>) = 10 + 0,5 (0,94 + 0,83) = 10,89 л/с.</w:t>
        <w:tab/>
        <w:t>(16)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D = √(4Q · 1000 / (πv)) = √(4 · 10,89 · 1000 / (3,14 · 1,5)) = 96 мм.</w:t>
        <w:tab/>
        <w:t>(17)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Пожаротушение обеспечивается от существующих гидрантов городского водопровода в утеплённых колодцах (не далее 150 м от любой точки здания), поэтому временный водопровод рассчитывается только на производственные и хозяйственные нужды: D = √(4 · 1,78 · 1000 / (3,14 · 1,0)) = 48 мм — принимается полиэтиленовая труба DN 50 с тепловой изоляцией и саморегулирующимся греющим кабелем, прокладываемая от утилидора надземно в коробе. В период с декабря по май вода на производственные нужды подаётся в утеплённые ёмкости в отапливаемых блок-контейнерах. Хозяйственно-бытовые стоки отводятся в существующую канализацию утилидора.</w:t>
      </w:r>
    </w:p>
    <w:p>
      <w:pPr>
        <w:pStyle w:val="Heading2"/>
        <w:rPr/>
      </w:pPr>
      <w:bookmarkStart w:id="28" w:name="__RefHeading___Toc11563_1443700011"/>
      <w:bookmarkEnd w:id="28"/>
      <w:r>
        <w:rPr>
          <w:rFonts w:eastAsia="Times New Roman" w:cs="Times New Roman"/>
        </w:rPr>
        <w:t>11.6 Потребность в тепле и паре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Пар для нужд строительства не требуется: бетон прогревается электрическим током и теплогенераторами, бытовые помещения отапливаются электричеством. Тепло нужно для временного отопления строящегося здания в период отделочных работ (апрель–июнь) от городской тепловой сети через постоянный тепловой ввод: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Q = q</w:t>
      </w:r>
      <w:r>
        <w:rPr>
          <w:rFonts w:eastAsia="Times New Roman" w:cs="Times New Roman"/>
          <w:vertAlign w:val="subscript"/>
        </w:rPr>
        <w:t>0</w:t>
      </w:r>
      <w:r>
        <w:rPr>
          <w:rFonts w:eastAsia="Times New Roman" w:cs="Times New Roman"/>
        </w:rPr>
        <w:t xml:space="preserve"> V (t</w:t>
      </w:r>
      <w:r>
        <w:rPr>
          <w:rFonts w:eastAsia="Times New Roman" w:cs="Times New Roman"/>
          <w:vertAlign w:val="subscript"/>
        </w:rPr>
        <w:t>в</w:t>
      </w:r>
      <w:r>
        <w:rPr>
          <w:rFonts w:eastAsia="Times New Roman" w:cs="Times New Roman"/>
        </w:rPr>
        <w:t xml:space="preserve"> − t</w:t>
      </w:r>
      <w:r>
        <w:rPr>
          <w:rFonts w:eastAsia="Times New Roman" w:cs="Times New Roman"/>
          <w:vertAlign w:val="subscript"/>
        </w:rPr>
        <w:t>н</w:t>
      </w:r>
      <w:r>
        <w:rPr>
          <w:rFonts w:eastAsia="Times New Roman" w:cs="Times New Roman"/>
        </w:rPr>
        <w:t>) K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 xml:space="preserve"> K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>,</w:t>
        <w:tab/>
        <w:t>(18)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q</w:t>
      </w:r>
      <w:r>
        <w:rPr>
          <w:rFonts w:eastAsia="Times New Roman" w:cs="Times New Roman"/>
          <w:vertAlign w:val="subscript"/>
        </w:rPr>
        <w:t>0</w:t>
      </w:r>
      <w:r>
        <w:rPr>
          <w:rFonts w:eastAsia="Times New Roman" w:cs="Times New Roman"/>
        </w:rPr>
        <w:t xml:space="preserve"> = 0,35 Вт/(м³·°С) — удельная тепловая характеристика здания в период строительства;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V — строительный объём здания, м³; t</w:t>
      </w:r>
      <w:r>
        <w:rPr>
          <w:rFonts w:eastAsia="Times New Roman" w:cs="Times New Roman"/>
          <w:vertAlign w:val="subscript"/>
        </w:rPr>
        <w:t>в</w:t>
      </w:r>
      <w:r>
        <w:rPr>
          <w:rFonts w:eastAsia="Times New Roman" w:cs="Times New Roman"/>
        </w:rPr>
        <w:t xml:space="preserve"> = 18 °С — температура воздуха при отделочных работах;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t</w:t>
      </w:r>
      <w:r>
        <w:rPr>
          <w:rFonts w:eastAsia="Times New Roman" w:cs="Times New Roman"/>
          <w:vertAlign w:val="subscript"/>
        </w:rPr>
        <w:t>н</w:t>
      </w:r>
      <w:r>
        <w:rPr>
          <w:rFonts w:eastAsia="Times New Roman" w:cs="Times New Roman"/>
        </w:rPr>
        <w:t xml:space="preserve"> = −25 °С — расчётная температура наружного воздуха для апреля–мая (принята);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K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 xml:space="preserve"> = 1,15 — коэффициент на просушку конструкций; K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 xml:space="preserve"> = 1,15 — потери тепла в сетях;</w:t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</w:rPr>
        <w:t>Q = 0,35 · 25 792 · (18 + 25) · 1,15 · 1,15 = 513 кВт (0,44 Гкал/ч).</w:t>
      </w:r>
    </w:p>
    <w:p>
      <w:pPr>
        <w:pStyle w:val="Heading2"/>
        <w:rPr/>
      </w:pPr>
      <w:bookmarkStart w:id="29" w:name="__RefHeading___Toc11565_1443700011"/>
      <w:bookmarkEnd w:id="29"/>
      <w:r>
        <w:rPr>
          <w:rFonts w:eastAsia="Times New Roman" w:cs="Times New Roman"/>
        </w:rPr>
        <w:t>11.7 Потребность в сжатом воздухе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Q = K</w:t>
      </w:r>
      <w:r>
        <w:rPr>
          <w:rFonts w:eastAsia="Times New Roman" w:cs="Times New Roman"/>
          <w:vertAlign w:val="subscript"/>
        </w:rPr>
        <w:t>о</w:t>
      </w:r>
      <w:r>
        <w:rPr>
          <w:rFonts w:eastAsia="Times New Roman" w:cs="Times New Roman"/>
        </w:rPr>
        <w:t xml:space="preserve"> Σq n = 0,8 · (3 · 1,0 + 2 · 0,5 + 2 · 0,3) = 3,68 м³/мин,</w:t>
        <w:tab/>
        <w:t>(19)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K</w:t>
      </w:r>
      <w:r>
        <w:rPr>
          <w:rFonts w:eastAsia="Times New Roman" w:cs="Times New Roman"/>
          <w:vertAlign w:val="subscript"/>
        </w:rPr>
        <w:t>о</w:t>
      </w:r>
      <w:r>
        <w:rPr>
          <w:rFonts w:eastAsia="Times New Roman" w:cs="Times New Roman"/>
        </w:rPr>
        <w:t xml:space="preserve"> = 0,8 — коэффициент одновременности работы; q — расход воздуха потребителем, м³/мин; n — число потребителей (отбойные молотки для срубки голов свай, продувка скважин и стыков, краскораспылители).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Принимается передвижная компрессорная станция ПКСД-5,25 (5,25 м³/мин).</w:t>
      </w:r>
    </w:p>
    <w:p>
      <w:pPr>
        <w:pStyle w:val="Heading2"/>
        <w:rPr/>
      </w:pPr>
      <w:bookmarkStart w:id="30" w:name="__RefHeading___Toc11567_1443700011"/>
      <w:bookmarkEnd w:id="30"/>
      <w:r>
        <w:rPr>
          <w:rFonts w:eastAsia="Times New Roman" w:cs="Times New Roman"/>
        </w:rPr>
        <w:t>11.8 Потребность во временных зданиях и сооружениях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Расчёт выполнен по наибольшей численности работающих: рабочих — 156 чел. (в наиболее многочисленную смену — 110), ИТР, служащих, МОП и охраны — 30 чел. (в смену — 25). Нормы площади на одного человека приняты по нормативам для расчёта временных зданий с увеличением для условий Крайнего Севера (раздельное хранение уличной и рабочей одежды, помещения для обогрева и сушки). Расчёт — в таблице 15.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15 – Расчёт площади временных зданий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4"/>
        <w:gridCol w:w="1021"/>
        <w:gridCol w:w="2041"/>
        <w:gridCol w:w="1191"/>
        <w:gridCol w:w="1134"/>
        <w:gridCol w:w="1133"/>
      </w:tblGrid>
      <w:tr>
        <w:trPr>
          <w:tblHeader w:val="true"/>
        </w:trPr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Помещение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Норма, м²/чел.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Расчётная численность, чел.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Требуемая площадь, м²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Блок-контейнеров, шт.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Принятая площадь, м²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Гардеробная (с отдельным хранением уличной и рабочей одежды)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0,90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156 (все рабочие)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140,4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144,0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Помещение для обогрева рабочих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0,20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110 (рабочие max смены)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22,0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28,8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Сушильная для одежды и обуви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0,20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110 (рабочие max смены)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22,0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28,8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Душевая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0,54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88 (80 % рабочих max смены)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47,5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57,6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Умывальная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0,20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110 (рабочие max смены)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22,0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28,8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Помещение для приёма пищи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0,80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135 (все работающие max смены)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108,0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115,2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Туалет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0,10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135 (все работающие max смены)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13,5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14,4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Прорабская (контора)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4,00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22 (ИТР и служащие max смены)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88,0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100,8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Помещение для инструктажа и собраний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0,75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55 (50 % рабочих max смены)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41,2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43,2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Медицинский пункт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14,4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14,4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КПП (проходная)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7,2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7,2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526,3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41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583,2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Принимаются инвентарные блок-контейнеры 6,0 × 2,4 м в северном исполнении (утеплитель 150 мм, электроотопление, двухкамерные стеклопакеты) — 40 шт. и пост КПП; общая площадь — 583,2 м². Контейнеры устанавливаются в два яруса и соединяются тёплыми переходами; бытовой городок размещается вне опасных зон, с подъездом для вахтовых автобусов (Приложение Б).</w:t>
      </w:r>
    </w:p>
    <w:p>
      <w:pPr>
        <w:pStyle w:val="Heading1"/>
        <w:pageBreakBefore w:val="false"/>
        <w:rPr/>
      </w:pPr>
      <w:bookmarkStart w:id="31" w:name="__RefHeading___Toc11569_1443700011"/>
      <w:bookmarkEnd w:id="31"/>
      <w:r>
        <w:rPr>
          <w:rFonts w:eastAsia="Times New Roman" w:cs="Times New Roman"/>
        </w:rPr>
        <w:t>12 Обоснование размеров и оснащения площадок для складирования материалов, конструкций, оборудования, укрупнённых модулей и стендов для их сборки. Решения по перемещению тяжеловесного негабаритного оборудования, укрупнённых модулей и строительных конструкций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Запас материалов на приобъектном складе: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P = Q / T · n · K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 xml:space="preserve"> · K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>,</w:t>
        <w:tab/>
        <w:t>(20)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Q — количество материала на весь период; T — продолжительность его потребления, дн.;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n — норма запаса, дн. (сборные конструкции — 3 дн. с учётом возможных перерывов движения в метели; сваи — 5 дн.; материалы с базисных складов — 10 дн.);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K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 xml:space="preserve"> = 1,1 — коэффициент неравномерности поступления; K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 xml:space="preserve"> = 1,3 — коэффициент неравномерности потребления.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F = P / q;   S = F / β,</w:t>
        <w:tab/>
        <w:t>(21)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q — количество материала на 1 м² площади склада; β — коэффициент использования площади склада.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Расчёт площадей складов приведён в таблице 16.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16 – Расчёт площадей складов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11"/>
        <w:gridCol w:w="510"/>
        <w:gridCol w:w="737"/>
        <w:gridCol w:w="567"/>
        <w:gridCol w:w="509"/>
        <w:gridCol w:w="680"/>
        <w:gridCol w:w="624"/>
        <w:gridCol w:w="624"/>
        <w:gridCol w:w="455"/>
        <w:gridCol w:w="680"/>
        <w:gridCol w:w="1755"/>
      </w:tblGrid>
      <w:tr>
        <w:trPr>
          <w:tblHeader w:val="true"/>
        </w:trPr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Материал, изделие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Ед.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Q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T, дн.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n, дн.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P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q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F, м²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β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S, м²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Тип склада</w:t>
            </w:r>
          </w:p>
        </w:tc>
      </w:tr>
      <w:tr>
        <w:trPr/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Наружные стеновые панели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м³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1 849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69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115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0,5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230,0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0,6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383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открытый, в кассетах</w:t>
            </w:r>
          </w:p>
        </w:tc>
      </w:tr>
      <w:tr>
        <w:trPr/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Внутренние стеновые панели и перегородки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м³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1 846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69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115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0,6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191,3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0,6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319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открытый, в кассетах</w:t>
            </w:r>
          </w:p>
        </w:tc>
      </w:tr>
      <w:tr>
        <w:trPr/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Плиты перекрытий и покрытия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м³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1 764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69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110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109,7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0,6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183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открытый, штабель до 2,5 м</w:t>
            </w:r>
          </w:p>
        </w:tc>
      </w:tr>
      <w:tr>
        <w:trPr/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Санкабины, лестницы, лифтовые и вентблоки, лоджии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м³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492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69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30,6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0,4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76,5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0,6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128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открытый</w:t>
            </w:r>
          </w:p>
        </w:tc>
      </w:tr>
      <w:tr>
        <w:trPr/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Сваи 35×35, L = 12 м (в период свайных работ)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м³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517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34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109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1,2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90,7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0,6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151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открытый, штабель до 2 м</w:t>
            </w:r>
          </w:p>
        </w:tc>
      </w:tr>
      <w:tr>
        <w:trPr/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Арматура, закладные детали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т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71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100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10,1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1,2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8,4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0,5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навес</w:t>
            </w:r>
          </w:p>
        </w:tc>
      </w:tr>
      <w:tr>
        <w:trPr/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Утеплитель, кровельные и изоляционные материалы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м³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409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60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97,5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2,0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48,7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0,6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81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навес / закрытый</w:t>
            </w:r>
          </w:p>
        </w:tc>
      </w:tr>
      <w:tr>
        <w:trPr/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Отделочные материалы (смеси, краски, плитка, обои)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т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100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75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19,1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19,1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0,6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32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закрытый</w:t>
            </w:r>
          </w:p>
        </w:tc>
      </w:tr>
      <w:tr>
        <w:trPr/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Линолеум, ламинат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м²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5 000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60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1 192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150,0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7,9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0,6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закрытый</w:t>
            </w:r>
          </w:p>
        </w:tc>
      </w:tr>
      <w:tr>
        <w:trPr/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Двери и столярные изделия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м²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940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60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224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44,0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5,1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0,6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закрытый</w:t>
            </w:r>
          </w:p>
        </w:tc>
      </w:tr>
      <w:tr>
        <w:trPr/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Инженерное оборудование, кабели, приборы</w:t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т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40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100</w:t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5,7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0,5</w:t>
            </w:r>
          </w:p>
        </w:tc>
        <w:tc>
          <w:tcPr>
            <w:tcW w:w="62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11,4</w:t>
            </w:r>
          </w:p>
        </w:tc>
        <w:tc>
          <w:tcPr>
            <w:tcW w:w="4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0,6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закрытый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Итого: открытые склады сборных конструкций — 1 012 м²; склад свай (151 м²) нужен только в период свайных работ и размещается на месте склада панелей; навесы — 98 м², закрытые склады — 73 м² (5 блок-контейнеров).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Оснащение складов. Открытые склады устраиваются в зоне действия башенного крана на спланированном основании из щебня с уклоном 1–2 % (для водоотвода летом), с проходами шириной не менее 1 м через каждые два штабеля. Стеновые панели хранятся вертикально в металлических кассетах, плиты перекрытий — в штабелях высотой до 2,5 м на деревянных подкладках и прокладках, санкабины — в один ярус. Склады освещаются (10 лк), снабжаются табличками с маркировкой элементов и очищаются от снега после каждой метели; перед монтажом элементы очищаются от снега и наледи. Закрытые склады и навесы размещаются в зоне бытового городка.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Тяжеловесное и негабаритное оборудование. Тяжеловесных и негабаритных грузов нет: наибольшая масса монтажного элемента — 7,76 т, наибольшая длина — 12 м (сваи). Сваи перевозятся полуприцепами-длинномерами и разгружаются автокраном; лифтовое оборудование доставляется в контейнерах и подаётся в машинные помещения башенным краном до его демонтажа. Укрупнительная сборка и стенды не требуются, кроме сборки секций подкранового пути и монтажа башенного крана с помощью автокрана.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Грузозахватные приспособления: траверсы и четырёхветвевые стропы 4СК-10 для плит перекрытий, двухветвевые стропы с полуавтоматическими захватами для стеновых панелей, захват для подъёма и кантовки свай, кассеты и пирамиды для хранения панелей, монтажная оснастка для временного крепления (подкосы, струбцины, связи).</w:t>
      </w:r>
    </w:p>
    <w:p>
      <w:pPr>
        <w:pStyle w:val="Heading1"/>
        <w:pageBreakBefore w:val="false"/>
        <w:rPr/>
      </w:pPr>
      <w:bookmarkStart w:id="32" w:name="__RefHeading___Toc11571_1443700011"/>
      <w:bookmarkEnd w:id="32"/>
      <w:r>
        <w:rPr>
          <w:rFonts w:eastAsia="Times New Roman" w:cs="Times New Roman"/>
        </w:rPr>
        <w:t>13 Предложения по обеспечению контроля качества строительных и монтажных работ, а также поставляемых на площадку и монтируемых оборудования, конструкций и материалов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Контроль качества выполняется в рамках строительного контроля (ст. 53 Градостроительного кодекса РФ) лицом, осуществляющим строительство, и застройщиком (техническим заказчиком), а также в рамках авторского надзора проектной организации; государственный строительный надзор осуществляет Служба строительного надзора и жилищного контроля Красноярского края. Требования к организации контроля — по СП 48.13330.2019.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Виды контроля в зависимости от места и времени проведения в технологическом процессе: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входной контроль проектной документации и поступающих материалов, изделий и оборудования (ГОСТ 24297-2013): документы о качестве, сертификаты (декларации) соответствия, маркировка, отсутствие повреждений, соответствие размеров; для сборных элементов — выборочная проверка прочности бетона неразрушающими методами, геометрии и закладных деталей; результаты — в журнале входного контроля;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операционный контроль в ходе выполнения технологических операций по схемам операционного контроля в составе ППР и технологических карт (таблица 17);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приёмочный контроль (оценка соответствия) выполненных работ, конструкций и участков сетей с освидетельствованием по РД 11-02-2006 (раздел 9);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лабораторный и геодезический контроль (раздел 14).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17 – Схема операционного контроля основных процессов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74"/>
        <w:gridCol w:w="2437"/>
        <w:gridCol w:w="2041"/>
        <w:gridCol w:w="1645"/>
        <w:gridCol w:w="1757"/>
      </w:tblGrid>
      <w:tr>
        <w:trPr>
          <w:tblHeader w:val="true"/>
        </w:trPr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Процесс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Контролируемые параметры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Способ, инструмент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Периодичность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Документ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Бурение скважин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положение в плане, диаметр, глубина, чистота забоя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рулетка, тахеометр, шаблон, отвес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каждая скважина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журнал бурения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Погружение свай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положение оголовка в плане и по высоте, вертикальность, заполнение пазух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тахеометр, нивелир, отвес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каждая свая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журнал погружения свай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Вмерзание свай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температура грунта по глубине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термометрические косы в скважинах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не реже 1 раза в 3 дня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журнал термометрии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Ростверк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армирование, защитный слой, температура бетона, режим прогрева, прочность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рулетка, термометры, склерометр, ультразвук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захватка; температура — через 2–4 ч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журналы бетонных работ и прогрева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Монтаж панелей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положение по осям и вертикали, опирание, ширина швов, отметки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тахеометр, нивелир, рейка, отвес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каждый элемент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исполнительная схема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Сварка закладных деталей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размеры и качество швов, антикоррозионная защита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ВИК, шаблоны, толщиномер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100 % узлов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журнал сварочных работ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Замоноличивание стыков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заполнение, температура, прочность к загружению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осмотр, термометр, образцы, НК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каждый этаж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журнал замоноличивания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Герметизация стыков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подготовка поверхности, сечение и непрерывность герметика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осмотр, шаблон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100 % стыков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АОСР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Кровля, утепление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толщина утеплителя, пароизоляция, уклоны, примыкания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рулетка, рейка, осмотр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каждая захватка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АОСР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Внутренние сети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герметичность, сопротивление изоляции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гидравлические испытания, мегаомметр</w:t>
            </w:r>
          </w:p>
        </w:tc>
        <w:tc>
          <w:tcPr>
            <w:tcW w:w="164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каждая система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акты, протоколы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Допускаемые отклонения принимаются по СП 70.13330.2012, СП 25.13330.2020, СП 45.13330.2017, СП 71.13330.2017, СП 73.13330.2016, СП 76.13330.2016 и рабочей документации.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Особенности контроля в зимних условиях: контроль температуры бетонной смеси и раствора при укладке и в процессе выдерживания, испытание образцов, твердеющих в условиях конструкции (не менее двух серий на захватку), контроль отсутствия наледи на закладных деталях и опорных поверхностях, контроль температуры воздуха в тепляках и в помещениях при отделочных работах.</w:t>
      </w:r>
    </w:p>
    <w:p>
      <w:pPr>
        <w:pStyle w:val="Heading1"/>
        <w:pageBreakBefore w:val="false"/>
        <w:rPr/>
      </w:pPr>
      <w:bookmarkStart w:id="33" w:name="__RefHeading___Toc11573_1443700011"/>
      <w:bookmarkEnd w:id="33"/>
      <w:r>
        <w:rPr>
          <w:rFonts w:eastAsia="Times New Roman" w:cs="Times New Roman"/>
        </w:rPr>
        <w:t>14 Предложения по организации службы геодезического и лабораторного контроля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Геодезические работы выполняются по СП 126.13330.2017 «Геодезические работы в строительстве». Заказчик создаёт геодезическую разбивочную основу (не менее четырёх знаков вне зоны работ; на мёрзлых грунтах — глубинные реперы ниже слоя сезонного оттаивания) и передаёт её генподрядчику по акту не позднее чем за 10 дней до начала работ. Геодезическая служба генподрядчика (геодезист и помощник, в период свайных и монтажных работ — в две смены) выполняет: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детальную разбивку осей здания, свайного поля и подкранового пути;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контроль бурения скважин и погружения свай, исполнительную съёмку свайного поля;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передачу осей и отметок на монтажные горизонты, поэтажный контроль монтажа, исполнительные схемы;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планово-высотный контроль подкранового пути в сроки, установленные ФНП ПС и проектом пути;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наблюдения за осадками ростверка по осадочным маркам (по четыре на секцию): до начала монтажа, после каждых трёх этажей и после окончания монтажа;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контроль положения наружных сетей и элементов благоустройства.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Приборы — электронный тахеометр, цифровой нивелир, приёмник ГНСС, прибор вертикального проецирования, рулетки; все приборы поверены и допускают работу при низких температурах либо используются с утеплёнными кейсами и подогревом аккумуляторов; при температуре ниже допустимой для прибора измерения выполняются из обогреваемых укрытий или переносятся.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Для здания на вечномёрзлых грунтах, используемых по принципу I, предусматривается геотехнический мониторинг (СП 25.13330.2020, СП 305.1325800.2017): термометрические скважины глубиной 12–15 м (по две на секцию), измерения температуры грунтов в период вмерзания свай — не реже одного раза в 3 дня, далее — один раз в месяц; результаты передаются заказчику и проектировщику, после ввода объекта наблюдения продолжает эксплуатирующая организация.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Лабораторный контроль выполняет аккредитованная строительная лаборатория генподрядчика или привлечённая по договору; на площадке — лабораторный пост в блок-контейнере прорабской. Лаборатория выполняет: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контроль бетонной смеси и раствора (подвижность, температура), отбор проб и изготовление образцов (ГОСТ 10181-2014, ГОСТ 5802-86);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испытание образцов и контроль прочности бетона ростверка и стыков неразрушающими методами (ГОСТ 18105-2018, ГОСТ 22690-2015, ГОСТ 17624-2021);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подбор составов растворов для заполнения пазух свай и для замоноличивания с противоморозными добавками;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контроль режимов электропрогрева и выдерживания бетона;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контроль сварных соединений (визуально-измерительный, выборочно — ультразвуковая дефектоскопия);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входной контроль утеплителя, герметиков, отделочных материалов (по документам, при сомнениях — испытания);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участие в статических испытаниях свай (ГОСТ 5686-2020) и в термометрическом контроле (ГОСТ 25358-2020).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Результаты оформляются протоколами и заносятся в журналы работ.</w:t>
      </w:r>
    </w:p>
    <w:p>
      <w:pPr>
        <w:pStyle w:val="Heading1"/>
        <w:pageBreakBefore w:val="false"/>
        <w:rPr/>
      </w:pPr>
      <w:bookmarkStart w:id="34" w:name="__RefHeading___Toc11575_1443700011"/>
      <w:bookmarkEnd w:id="34"/>
      <w:r>
        <w:rPr>
          <w:rFonts w:eastAsia="Times New Roman" w:cs="Times New Roman"/>
        </w:rPr>
        <w:t>15 Перечень требований, которые должны быть учтены в рабочей документации, разрабатываемой на основании проектной документации, в связи с принятыми методами возведения строительных конструкций и монтажа оборудования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1) свайное поле: несущая способность и длина свай по результатам изысканий и статических испытаний; требования к раствору заполнения пазух (состав, температура, морозостойкость); время вмерзания и условия загружения свай; схема термометрических скважин;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2) ростверк: возможность бетонирования в зимних условиях — класс бетона по прочности и морозостойкости, противоморозные добавки, конструкция подвесной опалубки, расстановка греющих проводов, режимы электропрогрева;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3) сборные конструкции: монтажные петли и закладные детали, рассчитанные на подъём краном КБ-405.1А с принятыми грузозахватными приспособлениями; минимизация мокрых процессов (сварные и сухие стыки), составы растворов для замоноличивания при отрицательных температурах; допуски на изготовление и монтаж;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4) трёхслойные наружные панели повышенной заводской готовности (окна, отделка, герметизация в заводских условиях); конструкция стыков, допускающая герметизацию при низких температурах;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5) последовательность монтажа и временное крепление конструкций, обеспечивающие устойчивость здания на каждой стадии; допустимое отставание замоноличивания от монтажа;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6) проект кранового пути на мёрзлом основании с учётом демонтажа крана до сезонного оттаивания; привязка крана с ограничением рабочей зоны;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7) инженерные системы: вводы сетей в теплоизолированных коробах, электрообогрев воронок внутреннего водостока, возможность включения отопления по временной схеме до окончания отделки;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8) мероприятия по сохранению мёрзлого состояния грунтов: конструкция проветриваемого подполья и продухов, запрет складирования снега у здания, водоотвод, требования к планировке;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9) решения по тепловому контуру на период отделочных работ (временное заполнение проёмов входов, утеплённые двери);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10) перечень скрытых работ и ответственных конструкций, подлежащих освидетельствованию (раздел 9), состав исполнительной документации;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11) требования охраны труда при монтаже: места крепления страховочных систем, временные ограждения перепадов высот по ГОСТ Р 12.3.053-2020.</w:t>
      </w:r>
    </w:p>
    <w:p>
      <w:pPr>
        <w:pStyle w:val="Heading1"/>
        <w:pageBreakBefore w:val="false"/>
        <w:rPr/>
      </w:pPr>
      <w:bookmarkStart w:id="35" w:name="__RefHeading___Toc11577_1443700011"/>
      <w:bookmarkEnd w:id="35"/>
      <w:r>
        <w:rPr>
          <w:rFonts w:eastAsia="Times New Roman" w:cs="Times New Roman"/>
        </w:rPr>
        <w:t>16 Обоснование потребности в жилье и социально-бытовом обслуживании персонала, участвующего в строительстве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Максимальная численность работающих (подраздел 11.1) — 186 чел., в том числе местных — около 98 чел., вахтового персонала — около 88 чел. (раздел 3). Местные работники проживают в собственном жилье. При вахте продолжительностью один месяц на объекте одновременно находится одна смена вахтового персонала; потребность в местах проживания с резервом 5 % на пересменку: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N</w:t>
      </w:r>
      <w:r>
        <w:rPr>
          <w:rFonts w:eastAsia="Times New Roman" w:cs="Times New Roman"/>
          <w:vertAlign w:val="subscript"/>
        </w:rPr>
        <w:t>ж</w:t>
      </w:r>
      <w:r>
        <w:rPr>
          <w:rFonts w:eastAsia="Times New Roman" w:cs="Times New Roman"/>
        </w:rPr>
        <w:t xml:space="preserve"> = N</w:t>
      </w:r>
      <w:r>
        <w:rPr>
          <w:rFonts w:eastAsia="Times New Roman" w:cs="Times New Roman"/>
          <w:vertAlign w:val="subscript"/>
        </w:rPr>
        <w:t>вахт</w:t>
      </w:r>
      <w:r>
        <w:rPr>
          <w:rFonts w:eastAsia="Times New Roman" w:cs="Times New Roman"/>
        </w:rPr>
        <w:t xml:space="preserve"> · 1,05 = 88 · 1,05 = 93 места;</w:t>
        <w:tab/>
        <w:t>(22)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S</w:t>
      </w:r>
      <w:r>
        <w:rPr>
          <w:rFonts w:eastAsia="Times New Roman" w:cs="Times New Roman"/>
          <w:vertAlign w:val="subscript"/>
        </w:rPr>
        <w:t>ж</w:t>
      </w:r>
      <w:r>
        <w:rPr>
          <w:rFonts w:eastAsia="Times New Roman" w:cs="Times New Roman"/>
        </w:rPr>
        <w:t xml:space="preserve"> = N</w:t>
      </w:r>
      <w:r>
        <w:rPr>
          <w:rFonts w:eastAsia="Times New Roman" w:cs="Times New Roman"/>
          <w:vertAlign w:val="subscript"/>
        </w:rPr>
        <w:t>ж</w:t>
      </w:r>
      <w:r>
        <w:rPr>
          <w:rFonts w:eastAsia="Times New Roman" w:cs="Times New Roman"/>
        </w:rPr>
        <w:t xml:space="preserve"> · s = 93 · 6 = 558 м² жилой площади,</w:t>
        <w:tab/>
        <w:t>(23)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s = 6 м² — принятая норма жилой площади на одного человека в общежитии для вахтового персонала.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Вахтовый персонал размещается в арендуемом общежитии (гостинице) г. Норильска; доставка к месту работ — вахтовыми автобусами (два автобуса, по два рейса в смену). Временный жилой городок у объекта не требуется. Социально-бытовое обслуживание: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питание — комната приёма пищи на площадке (115,2 м²) с доставкой горячего питания по договору с предприятием общественного питания; в общежитии — столовая или кухни;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медицинское обслуживание — медицинский пункт на площадке (фельдшер в рабочее время), аптечки первой помощи, договор с медицинской организацией г. Норильска на медосмотры и оказание помощи;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санитарно-бытовое обслуживание — гардеробные, душевые, сушилки и помещения для обогрева (подраздел 11.8); стирка и химчистка спецодежды — по договору;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культурно-бытовое обслуживание — учреждения города;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обеспечение спецодеждой, спецобувью и СИЗ для работы при низких температурах.</w:t>
      </w:r>
    </w:p>
    <w:p>
      <w:pPr>
        <w:pStyle w:val="Heading1"/>
        <w:pageBreakBefore w:val="false"/>
        <w:rPr/>
      </w:pPr>
      <w:bookmarkStart w:id="36" w:name="__RefHeading___Toc11579_1443700011"/>
      <w:bookmarkEnd w:id="36"/>
      <w:r>
        <w:rPr>
          <w:rFonts w:eastAsia="Times New Roman" w:cs="Times New Roman"/>
        </w:rPr>
        <w:t>17 Перечень мероприятий и проектных решений по определению технических средств и методов работы, обеспечивающих выполнение нормативных требований охраны труда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Мероприятия разработаны с соблюдением СНиП 12-03-2001 и СНиП 12-04-2002 «Безопасность труда в строительстве», Правил по охране труда при строительстве, реконструкции и ремонте (приказ Минтруда России от 11.12.2020 № 883н), Правил по охране труда при работе на высоте (приказ Минтруда России от 16.11.2020 № 782н), ФНП «Правила безопасности опасных производственных объектов, на которых используются подъёмные сооружения» (приказ Ростехнадзора от 26.11.2020 № 461) и Правил противопожарного режима в РФ (постановление Правительства РФ от 16.09.2020 № 1479).</w:t>
      </w:r>
    </w:p>
    <w:p>
      <w:pPr>
        <w:pStyle w:val="Heading2"/>
        <w:rPr/>
      </w:pPr>
      <w:bookmarkStart w:id="37" w:name="__RefHeading___Toc11581_1443700011"/>
      <w:bookmarkEnd w:id="37"/>
      <w:r>
        <w:rPr>
          <w:rFonts w:eastAsia="Times New Roman" w:cs="Times New Roman"/>
        </w:rPr>
        <w:t>17.1 Организационные мероприятия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разработка ППР и технологических карт, ППР на работы кранами (РД-11-06-2007) с ознакомлением работников под подпись;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назначение приказами лиц, ответственных за безопасное производство работ кранами, за содержание крана в работоспособном состоянии, за электрохозяйство и пожарную безопасность;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обучение и проверка знаний требований охраны труда; допуск к работам повышенной опасности по нарядам-допускам (работы на высоте, в охранных зонах сетей, электропрогрев, огневые работы);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режим труда и отдыха в холодное время по МР 2.2.7.2129-06 с перерывами на обогрев; прекращение работ на открытом воздухе при сочетаниях температуры воздуха и скорости ветра, установленных органами местного самоуправления г. Норильска («актированные дни»).</w:t>
      </w:r>
    </w:p>
    <w:p>
      <w:pPr>
        <w:pStyle w:val="Heading2"/>
        <w:rPr/>
      </w:pPr>
      <w:bookmarkStart w:id="38" w:name="__RefHeading___Toc11583_1443700011"/>
      <w:bookmarkEnd w:id="38"/>
      <w:r>
        <w:rPr>
          <w:rFonts w:eastAsia="Times New Roman" w:cs="Times New Roman"/>
        </w:rPr>
        <w:t>17.2 Опасные зоны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Границы опасных зон (СНиП 12-03-2001, приложение Г; РД-11-06-2007) приведены в таблице 18 и на стройгенплане (Приложение Б).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18 – Границы опасных зон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5"/>
        <w:gridCol w:w="1247"/>
        <w:gridCol w:w="907"/>
        <w:gridCol w:w="4364"/>
      </w:tblGrid>
      <w:tr>
        <w:trPr>
          <w:tblHeader w:val="true"/>
        </w:trPr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Источник опасности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Высота падения, м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Отлёт x, м</w:t>
            </w:r>
          </w:p>
        </w:tc>
        <w:tc>
          <w:tcPr>
            <w:tcW w:w="436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Граница опасной зоны</w:t>
            </w:r>
          </w:p>
        </w:tc>
      </w:tr>
      <w:tr>
        <w:trPr/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Перемещение грузов башенным краном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до 37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436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R = R</w:t>
            </w:r>
            <w:r>
              <w:rPr>
                <w:rFonts w:eastAsia="Times New Roman" w:cs="Times New Roman"/>
                <w:kern w:val="0"/>
                <w:sz w:val="20"/>
                <w:szCs w:val="22"/>
                <w:vertAlign w:val="subscript"/>
                <w:lang w:val="en-US" w:eastAsia="en-US" w:bidi="ar-SA"/>
              </w:rPr>
              <w:t>раб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 + 0,5B</w:t>
            </w:r>
            <w:r>
              <w:rPr>
                <w:rFonts w:eastAsia="Times New Roman" w:cs="Times New Roman"/>
                <w:kern w:val="0"/>
                <w:sz w:val="20"/>
                <w:szCs w:val="22"/>
                <w:vertAlign w:val="subscript"/>
                <w:lang w:val="en-US" w:eastAsia="en-US" w:bidi="ar-SA"/>
              </w:rPr>
              <w:t>min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 + L</w:t>
            </w:r>
            <w:r>
              <w:rPr>
                <w:rFonts w:eastAsia="Times New Roman" w:cs="Times New Roman"/>
                <w:kern w:val="0"/>
                <w:sz w:val="20"/>
                <w:szCs w:val="22"/>
                <w:vertAlign w:val="subscript"/>
                <w:lang w:val="en-US" w:eastAsia="en-US" w:bidi="ar-SA"/>
              </w:rPr>
              <w:t>max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 + x = 18 + 0,15 + 6 + 10 = 34,1 м от оси крана</w:t>
            </w:r>
          </w:p>
        </w:tc>
      </w:tr>
      <w:tr>
        <w:trPr/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Падение предметов со здания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до 33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436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 м от контура здания</w:t>
            </w:r>
          </w:p>
        </w:tc>
      </w:tr>
      <w:tr>
        <w:trPr/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Установка свай автокраном (вылет до 10 м, длина сваи 12 м)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до 15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436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R = 10 + 0,2 + 12 + 7 = 29,2 м от оси автокрана</w:t>
            </w:r>
          </w:p>
        </w:tc>
      </w:tr>
      <w:tr>
        <w:trPr/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Работа буровой установки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436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радиус, равный высоте мачты плюс 5 м</w:t>
            </w:r>
          </w:p>
        </w:tc>
      </w:tr>
      <w:tr>
        <w:trPr/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Электропрогрев бетона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436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ограждённая зона прогрева со знаками и сигнальными лампами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Heading2"/>
        <w:rPr/>
      </w:pPr>
      <w:bookmarkStart w:id="39" w:name="__RefHeading___Toc11585_1443700011"/>
      <w:bookmarkEnd w:id="39"/>
      <w:r>
        <w:rPr>
          <w:rFonts w:eastAsia="Times New Roman" w:cs="Times New Roman"/>
        </w:rPr>
        <w:t>17.3 Технические средства и методы работ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ограждение площадки по ГОСТ Р 58967-2020 высотой 2,0 м, защитный козырёк над тротуаром у ворот;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предохранительные ограждения перепадов высот, проёмов, краёв перекрытий и лестничных маршей (ГОСТ Р 12.3.053-2020), удерживающие и страховочные системы, анкерные линии;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ограничитель рабочих движений крана (координатная защита), регистратор параметров, анемометр; прекращение работы крана при скорости ветра выше допустимой по паспорту, монтажа панелей — при ветре 10 м/с и более, монтажных работ на высоте — при ветре 15 м/с и более, при гололедице, тумане и снегопаде, ограничивающих видимость;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освещение рабочих мест и проходов по ГОСТ 12.1.046-2014 (в полярную ночь — в течение всей смены), аварийное освещение путей эвакуации;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очистка от снега и наледи и посыпка песком проходов, лестниц, подмостей и перекрытий перед началом смены;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пункты обогрева на площадке и тепляки на этажах, контроль самочувствия работающих, запрет работы в одиночку на морозе;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безопасная организация электропрогрева (пониженное напряжение, ограждение, знаки, контроль изоляции), защитное заземление и устройства защитного отключения;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вентиляция тепляков и контроль концентрации оксида углерода при работе теплогенераторов;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СИЗ: утеплённая спецодежда и спецобувь для защиты от пониженных температур (ГОСТ 12.4.303-2016), каски с утеплёнными подшлемниками, защитные очки, средства защиты лица от обморожения;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противопожарные мероприятия: пожарные щиты и огнетушители на площадке и на этажах, проезды шириной не менее 3,5 м, свободный доступ к гидрантам с очисткой их от снега, порядок огневых работ, хранение горючих жидкостей в металлических шкафах вне здания, запрет открытого огня для отогрева грунта и машин в неустановленных местах.</w:t>
      </w:r>
    </w:p>
    <w:p>
      <w:pPr>
        <w:pStyle w:val="Heading1"/>
        <w:pageBreakBefore w:val="false"/>
        <w:rPr/>
      </w:pPr>
      <w:bookmarkStart w:id="40" w:name="__RefHeading___Toc11587_1443700011"/>
      <w:bookmarkEnd w:id="40"/>
      <w:r>
        <w:rPr>
          <w:rFonts w:eastAsia="Times New Roman" w:cs="Times New Roman"/>
        </w:rPr>
        <w:t>18 Описание проектных решений и мероприятий по охране окружающей среды в период строительства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Оценка воздействия. В период строительства возможны: тепловое воздействие на многолетнемёрзлые грунты (отепляющее действие снежных валов, утечки воды, теплопотери временных сетей и тепляков), загрязнение грунтов нефтепродуктами и строительными отходами, выбросы загрязняющих веществ от двигателей машин и теплогенераторов, шум, загрязнение снега и талых вод. Растительный и животный мир застроенной городской территории практически не затрагиваются.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Мероприятия: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сохранение мёрзлого состояния грунтов: планировка только подсыпкой, без срезки грунта; запрет складирования снега на свайном поле и у здания; вывоз снега на городской снегоотвал; теплоизоляция и надземная прокладка временных трубопроводов; исключение утечек воды; водоотвод в летний период; проветриваемое подполье — открытое с момента устройства ростверка;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защита почв и вод: заправка машин топливозаправщиком на площадке с твёрдым покрытием и поддонами, без хранения топлива; сбор отработанных масел и промасленной ветоши в герметичные ёмкости; пункт очистки колёс с оборотным водоснабжением (зимой — механическая очистка); запрет сброса стоков на рельеф;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охрана атмосферного воздуха: исправные машины с отрегулированной топливной аппаратурой, исключение работы двигателей вхолостую сверх необходимого прогрева, преимущественное применение электропрогрева вместо теплогенераторов, запрет сжигания отходов;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обращение с отходами (Федеральный закон от 24.06.1998 № 89-ФЗ): раздельный сбор в контейнеры, вывоз строительных отходов на объект размещения отходов, внесённый в государственный реестр, передача отходов I–IV классов опасности организациям, имеющим лицензию; учёт образования и движения отходов;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защита от шума: ограничение работы шумных машин (бурение, компрессор) с 23:00 до 07:00 вблизи жилой застройки, глушители и шумозащитные кожухи (СанПиН 1.2.3685-21);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мониторинг: контроль температуры грунтов (раздел 14), визуальный контроль территории, учёт отходов.</w:t>
      </w:r>
    </w:p>
    <w:p>
      <w:pPr>
        <w:pStyle w:val="Heading1"/>
        <w:pageBreakBefore w:val="false"/>
        <w:rPr/>
      </w:pPr>
      <w:bookmarkStart w:id="41" w:name="__RefHeading___Toc11589_1443700011"/>
      <w:bookmarkEnd w:id="41"/>
      <w:r>
        <w:rPr>
          <w:rFonts w:eastAsia="Times New Roman" w:cs="Times New Roman"/>
        </w:rPr>
        <w:t>19 Описание проектных решений и мероприятий по охране объектов в период строительства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сплошное инвентарное ограждение площадки высотой 2,0 м по ГОСТ Р 58967-2020 протяжённостью 570 м с воротами на въезде и выезде; ограждение рассчитывается на ветровую и снеговую нагрузку и регулярно очищается от снежных заносов;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контрольно-пропускной пункт на въезде; пропускной и внутриобъектовый режим (пропуска для работников и транспорта, учёт посетителей, ввоза и вывоза материальных ценностей);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круглосуточная охрана силами частной охранной организации (пост на КПП, обходы территории);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охранное освещение по периметру (не менее 0,5 лк) в тёмное время суток, в декабре–январе — круглосуточно;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видеонаблюдение (камеры в морозостойком исполнении с обогревом; обзор въезда, складов, крана и бытового городка) с архивом записей;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реестры механизмов, оборудования, инструментов и других материально-технических ценностей; хранение инструмента и ценных материалов в запираемых складах;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ежедневный контроль работоспособности технических охранных систем (видеонаблюдение, освещение, сигнализация складов) с записью в журнале;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блокировка органов управления крана и машин в нерабочее время, стоянка машин на охраняемой площадке.</w:t>
      </w:r>
    </w:p>
    <w:p>
      <w:pPr>
        <w:pStyle w:val="Heading1"/>
        <w:pageBreakBefore w:val="false"/>
        <w:rPr/>
      </w:pPr>
      <w:bookmarkStart w:id="42" w:name="__RefHeading___Toc11591_1443700011"/>
      <w:bookmarkEnd w:id="42"/>
      <w:r>
        <w:rPr>
          <w:rFonts w:eastAsia="Times New Roman" w:cs="Times New Roman"/>
        </w:rPr>
        <w:t>20 Обоснование принятой продолжительности строительства объекта капитального строительства и его отдельных этапов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Директивная продолжительность заказчиком не установлена, поэтому продолжительность строительства определена расчётом по МДС 12-43.2008 «Нормирование продолжительности строительства зданий и сооружений» (таблица 1 «Жилые здания»). Нормы таблицы установлены для жилых зданий с устройством фундаментов и технического подполья, внутренних инженерных систем, сетей до первых колодцев и благоустройства, при строительстве за одну установку башенного крана и его двухсменной работе; они являются максимально допустимыми значениями продолжительности строительства в целом и его этапов (п. 3.16).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Общая площадь квартир дома F = 5 624 м² находится между табличными значениями для 9-этажных крупнопанельных домов 3 000 м² (5,0 мес) и 8 000 м² (6,5 мес), поэтому продолжительность определена интерполяцией (п. 3.18):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T</w:t>
      </w:r>
      <w:r>
        <w:rPr>
          <w:rFonts w:eastAsia="Times New Roman" w:cs="Times New Roman"/>
          <w:vertAlign w:val="subscript"/>
        </w:rPr>
        <w:t>табл</w:t>
      </w:r>
      <w:r>
        <w:rPr>
          <w:rFonts w:eastAsia="Times New Roman" w:cs="Times New Roman"/>
        </w:rPr>
        <w:t xml:space="preserve"> = T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 xml:space="preserve"> + (T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 xml:space="preserve"> − T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>) (F − F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>) / (F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 xml:space="preserve"> − F</w:t>
      </w:r>
      <w:r>
        <w:rPr>
          <w:rFonts w:eastAsia="Times New Roman" w:cs="Times New Roman"/>
          <w:vertAlign w:val="subscript"/>
        </w:rPr>
        <w:t>1</w:t>
      </w:r>
      <w:r>
        <w:rPr>
          <w:rFonts w:eastAsia="Times New Roman" w:cs="Times New Roman"/>
        </w:rPr>
        <w:t>),</w:t>
        <w:tab/>
        <w:t>(24)</w:t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</w:rPr>
        <w:t>T</w:t>
      </w:r>
      <w:r>
        <w:rPr>
          <w:rFonts w:eastAsia="Times New Roman" w:cs="Times New Roman"/>
          <w:vertAlign w:val="subscript"/>
        </w:rPr>
        <w:t>табл</w:t>
      </w:r>
      <w:r>
        <w:rPr>
          <w:rFonts w:eastAsia="Times New Roman" w:cs="Times New Roman"/>
        </w:rPr>
        <w:t xml:space="preserve"> = 5,0 + (6,5 − 5,0) (5 624 − 3 000) / (8 000 − 3 000) = 5,79 мес.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Учёт свайного фундамента. Таблицы МДС 12-43.2008 составлены для наиболее часто встречающихся грунтово-геологических условий; продолжительность строительства в особых условиях определяется расчётом в ПОС (п. 3.17). Дополнительное время на устройство свайного фундамента принято по Пособию к СНиП 1.04.03-85* — не более 10 рабочих дней на каждые 100 свай длиной более 6 м: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ΔT</w:t>
      </w:r>
      <w:r>
        <w:rPr>
          <w:rFonts w:eastAsia="Times New Roman" w:cs="Times New Roman"/>
          <w:vertAlign w:val="subscript"/>
        </w:rPr>
        <w:t>св</w:t>
      </w:r>
      <w:r>
        <w:rPr>
          <w:rFonts w:eastAsia="Times New Roman" w:cs="Times New Roman"/>
        </w:rPr>
        <w:t xml:space="preserve"> = n · 10 / (100 · d),</w:t>
        <w:tab/>
        <w:t>(25)</w:t>
      </w:r>
    </w:p>
    <w:p>
      <w:pPr>
        <w:pStyle w:val="Normal"/>
        <w:ind w:hanging="0"/>
        <w:jc w:val="both"/>
        <w:rPr/>
      </w:pPr>
      <w:r>
        <w:rPr>
          <w:rFonts w:eastAsia="Times New Roman" w:cs="Times New Roman"/>
        </w:rPr>
        <w:t>где n = 352 — количество свай; d = 22 — число рабочих дней в месяце;</w:t>
      </w:r>
    </w:p>
    <w:p>
      <w:pPr>
        <w:pStyle w:val="Normal"/>
        <w:ind w:hanging="0"/>
        <w:jc w:val="center"/>
        <w:rPr/>
      </w:pPr>
      <w:r>
        <w:rPr>
          <w:rFonts w:eastAsia="Times New Roman" w:cs="Times New Roman"/>
        </w:rPr>
        <w:t>ΔT</w:t>
      </w:r>
      <w:r>
        <w:rPr>
          <w:rFonts w:eastAsia="Times New Roman" w:cs="Times New Roman"/>
          <w:vertAlign w:val="subscript"/>
        </w:rPr>
        <w:t>св</w:t>
      </w:r>
      <w:r>
        <w:rPr>
          <w:rFonts w:eastAsia="Times New Roman" w:cs="Times New Roman"/>
        </w:rPr>
        <w:t xml:space="preserve"> = 352 · 10 / (100 · 22) = 35,2 / 22 = 1,60 мес.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Учёт района строительства. Нормы МДС 12-43.2008 установлены для центрального региона европейской части страны; для северного региона рекомендуется вводить поправочный коэффициент до 1,2 (раздел 1). Для г. Норильска (Крайний Север, зимний период до 9 месяцев, полярная ночь, частые актированные дни) принимается максимальное значение K</w:t>
      </w:r>
      <w:r>
        <w:rPr>
          <w:rFonts w:eastAsia="Times New Roman" w:cs="Times New Roman"/>
          <w:vertAlign w:val="subscript"/>
        </w:rPr>
        <w:t>сев</w:t>
      </w:r>
      <w:r>
        <w:rPr>
          <w:rFonts w:eastAsia="Times New Roman" w:cs="Times New Roman"/>
        </w:rPr>
        <w:t xml:space="preserve"> = 1,2: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before="60" w:after="60"/>
        <w:ind w:hanging="0"/>
        <w:jc w:val="left"/>
        <w:rPr/>
      </w:pPr>
      <w:r>
        <w:rPr>
          <w:rFonts w:eastAsia="Times New Roman" w:cs="Times New Roman"/>
        </w:rPr>
        <w:tab/>
        <w:t>T</w:t>
      </w:r>
      <w:r>
        <w:rPr>
          <w:rFonts w:eastAsia="Times New Roman" w:cs="Times New Roman"/>
          <w:vertAlign w:val="subscript"/>
        </w:rPr>
        <w:t>н</w:t>
      </w:r>
      <w:r>
        <w:rPr>
          <w:rFonts w:eastAsia="Times New Roman" w:cs="Times New Roman"/>
        </w:rPr>
        <w:t xml:space="preserve"> = (T</w:t>
      </w:r>
      <w:r>
        <w:rPr>
          <w:rFonts w:eastAsia="Times New Roman" w:cs="Times New Roman"/>
          <w:vertAlign w:val="subscript"/>
        </w:rPr>
        <w:t>табл</w:t>
      </w:r>
      <w:r>
        <w:rPr>
          <w:rFonts w:eastAsia="Times New Roman" w:cs="Times New Roman"/>
        </w:rPr>
        <w:t xml:space="preserve"> + ΔT</w:t>
      </w:r>
      <w:r>
        <w:rPr>
          <w:rFonts w:eastAsia="Times New Roman" w:cs="Times New Roman"/>
          <w:vertAlign w:val="subscript"/>
        </w:rPr>
        <w:t>св</w:t>
      </w:r>
      <w:r>
        <w:rPr>
          <w:rFonts w:eastAsia="Times New Roman" w:cs="Times New Roman"/>
        </w:rPr>
        <w:t>) K</w:t>
      </w:r>
      <w:r>
        <w:rPr>
          <w:rFonts w:eastAsia="Times New Roman" w:cs="Times New Roman"/>
          <w:vertAlign w:val="subscript"/>
        </w:rPr>
        <w:t>сев</w:t>
      </w:r>
      <w:r>
        <w:rPr>
          <w:rFonts w:eastAsia="Times New Roman" w:cs="Times New Roman"/>
        </w:rPr>
        <w:t xml:space="preserve"> = (5,79 + 1,60) · 1,2 = 8,86 мес.</w:t>
        <w:tab/>
        <w:t>(26)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С округлением до 0,5 мес в большую сторону нормативная продолжительность строительства T</w:t>
      </w:r>
      <w:r>
        <w:rPr>
          <w:rFonts w:eastAsia="Times New Roman" w:cs="Times New Roman"/>
          <w:vertAlign w:val="subscript"/>
        </w:rPr>
        <w:t>н</w:t>
      </w:r>
      <w:r>
        <w:rPr>
          <w:rFonts w:eastAsia="Times New Roman" w:cs="Times New Roman"/>
        </w:rPr>
        <w:t xml:space="preserve"> = 9,0 мес, в том числе подготовительный период — 1,2 мес. Продолжительность этапов приведена в таблице 19.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19 – Продолжительность строительства по этапам, мес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27"/>
        <w:gridCol w:w="851"/>
        <w:gridCol w:w="850"/>
        <w:gridCol w:w="1077"/>
        <w:gridCol w:w="737"/>
        <w:gridCol w:w="1076"/>
        <w:gridCol w:w="2835"/>
      </w:tblGrid>
      <w:tr>
        <w:trPr>
          <w:tblHeader w:val="true"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Этап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3 000 м²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8 000 м²</w:t>
            </w:r>
          </w:p>
        </w:tc>
        <w:tc>
          <w:tcPr>
            <w:tcW w:w="107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5 624 м² (интерп.)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Сваи</w:t>
            </w:r>
          </w:p>
        </w:tc>
        <w:tc>
          <w:tcPr>
            <w:tcW w:w="107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× K</w:t>
            </w:r>
            <w:r>
              <w:rPr>
                <w:rFonts w:eastAsia="Times New Roman" w:cs="Times New Roman"/>
                <w:b/>
                <w:kern w:val="0"/>
                <w:sz w:val="20"/>
                <w:szCs w:val="22"/>
                <w:vertAlign w:val="subscript"/>
                <w:lang w:val="en-US" w:eastAsia="en-US" w:bidi="ar-SA"/>
              </w:rPr>
              <w:t>сев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По календарному плану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Подготовительный период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</w:t>
            </w:r>
          </w:p>
        </w:tc>
        <w:tc>
          <w:tcPr>
            <w:tcW w:w="107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1,00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07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1,20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01.12.2027–18.02.2028 (совмещён с подземной частью)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Подземная часть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</w:t>
            </w:r>
          </w:p>
        </w:tc>
        <w:tc>
          <w:tcPr>
            <w:tcW w:w="107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1,00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+1,60</w:t>
            </w:r>
          </w:p>
        </w:tc>
        <w:tc>
          <w:tcPr>
            <w:tcW w:w="107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3,12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13.12.2027–15.03.2028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Надземная часть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2,0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3,5</w:t>
            </w:r>
          </w:p>
        </w:tc>
        <w:tc>
          <w:tcPr>
            <w:tcW w:w="107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2,79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07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3,34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21.02.2028–31.05.2028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Отделочные работы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</w:t>
            </w:r>
          </w:p>
        </w:tc>
        <w:tc>
          <w:tcPr>
            <w:tcW w:w="107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1,00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07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1,20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03.04.2028–25.08.2028 (совмещены с монтажом)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5,0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6,5</w:t>
            </w:r>
          </w:p>
        </w:tc>
        <w:tc>
          <w:tcPr>
            <w:tcW w:w="107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5,79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+1,60</w:t>
            </w:r>
          </w:p>
        </w:tc>
        <w:tc>
          <w:tcPr>
            <w:tcW w:w="107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8,86 → 9,0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01.12.2027–31.08.2028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Продолжительность строительства по календарному плану (Приложение А) — 9,0 мес: начало — 01.12.2027, окончание — 31.08.2028, что не превышает нормативную. Подготовительный период (1,2 мес) составляет 15 % продолжительности основного периода (7,8 мес) и не превышает рекомендуемых 16–19 % (п. 3.3).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Распределение объёмов работ по месяцам (по трудоёмкости календарного плана) — в таблице 20.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20 – Распределение объёмов работ по месяцам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4"/>
        <w:gridCol w:w="2269"/>
        <w:gridCol w:w="1700"/>
        <w:gridCol w:w="2551"/>
      </w:tblGrid>
      <w:tr>
        <w:trPr>
          <w:tblHeader w:val="true"/>
        </w:trPr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Месяц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Трудоёмкость, чел.-дн.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Доля, %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Нарастающим итогом, %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декабрь 2027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1 164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5,8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5,8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январь 2028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917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4,6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10,4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февраль 2028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1 530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7,6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18,0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март 2028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2 383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11,9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29,9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апрель 2028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2 904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14,5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44,4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май 2028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3 161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15,8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60,2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июнь 2028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2 996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15,0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75,2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июль 2028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3 107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15,5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90,7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август 2028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1 861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9,3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100,0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20 022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Организационно-технические решения, обеспечивающие нормативную продолжительность и позволяющие её сократить (МДС 12-43.2008, п. 4.8):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поточный метод с разбивкой на захватки: две буровые установки — параллельные потоки на свайных работах; монтаж надземной части двумя захватками с совмещением монтажа захватки II с кровельными, специальными и отделочными работами на захватке I;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двухсменная работа ведущих машин (буровые установки, башенный кран); при выполнении всех работ в две смены продолжительность может быть сокращена с коэффициентом 0,9 (п. 3.16);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повышенная заводская готовность конструкций (трёхслойные панели с окнами и отделкой, объёмные санкабины, блоки лифтовых шахт), сварные и сухие стыки, сокращающие мокрые процессы зимой;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раннее (в марте) включение постоянной системы отопления, позволяющее вести отделку с апреля;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заблаговременный завоз материалов и оборудования в навигацию 2027 г., запас сборных конструкций на случай метелей;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унифицированная монтажная оснастка для временного крепления конструкций, приборы безопасности крана;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выполнение наружных сетей и благоустройства летом параллельно с отделочными работами.</w:t>
      </w:r>
    </w:p>
    <w:p>
      <w:pPr>
        <w:pStyle w:val="Heading1"/>
        <w:pageBreakBefore w:val="false"/>
        <w:rPr/>
      </w:pPr>
      <w:bookmarkStart w:id="43" w:name="__RefHeading___Toc11593_1443700011"/>
      <w:bookmarkEnd w:id="43"/>
      <w:r>
        <w:rPr>
          <w:rFonts w:eastAsia="Times New Roman" w:cs="Times New Roman"/>
        </w:rPr>
        <w:t>21 Перечень мероприятий по организации мониторинга за состоянием зданий и сооружений, расположенных в непосредственной близости от строящегося объекта, земляные, строительные, монтажные и иные работы на котором могут повлиять на техническое состояние и надёжность таких зданий и сооружений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Вблизи строящегося дома расположены: существующий 5-этажный жилой дом (около 36 м к северу), утилидор инженерных сетей (около 62 м к западу) и городская улица с кабельными линиями (около 48 м к югу). Сваи погружаются в пробуренные скважины без динамических воздействий, котлован не разрабатывается, водопонижение не требуется, поэтому существующие здания и сооружения находятся вне зоны влияния механических воздействий строительства. Основной возможный фактор влияния — изменение теплового режима многолетнемёрзлых грунтов (снегонакопление у ограждения, утечки воды, теплопотери временных сетей), которое для высокотемпературных мёрзлых грунтов Норильска может проявляться на значительных расстояниях. Поэтому предусматриваются мероприятия (СП 305.1325800.2017, СП 25.13330.2020):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обследование технического состояния существующего жилого дома и утилидора до начала строительства с фиксацией дефектов (фотофиксация, акты) и согласованием с собственниками;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осадочные марки на цоколе существующего дома (не менее шести) и на конструкциях утилидора в зоне временных вводов; нивелирование II класса (ГОСТ 24846-2019) циклами: до начала работ, ежемесячно в период свайных работ и монтажа надземной части, после окончания строительства;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маяки на существующих трещинах с ежемесячным осмотром;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термометрическая скважина у северного ограждения между строящимся и существующим домами, измерения — ежемесячно;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контроль снегонакопления у ограждения и у существующего дома, своевременный вывоз снега; контроль отсутствия утечек из временных сетей;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при выявлении деформаций или повышения температуры грунтов сверх прогнозных — приостановка работ, анализ причин с участием проектировщика и разработка компенсирующих мероприятий;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</w:rPr>
        <w:t>оформление результатов мониторинга отчётами с передачей заказчику и собственникам существующих зданий.</w:t>
      </w:r>
      <w:r>
        <w:br w:type="page"/>
      </w:r>
    </w:p>
    <w:p>
      <w:pPr>
        <w:pStyle w:val="Heading1"/>
        <w:ind w:hanging="0"/>
        <w:jc w:val="center"/>
        <w:rPr/>
      </w:pPr>
      <w:bookmarkStart w:id="44" w:name="__RefHeading___Toc11595_1443700011"/>
      <w:bookmarkEnd w:id="44"/>
      <w:r>
        <w:rPr>
          <w:rFonts w:eastAsia="Times New Roman" w:cs="Times New Roman"/>
        </w:rPr>
        <w:t>ТЕХНИКО-ЭКОНОМИЧЕСКИЕ ПОКАЗАТЕЛИ ПОС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Основные показатели проекта организации строительства приведены в таблице 21.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21 – Технико-экономические показатели проекта организации строительства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55"/>
        <w:gridCol w:w="1362"/>
        <w:gridCol w:w="2438"/>
      </w:tblGrid>
      <w:tr>
        <w:trPr>
          <w:tblHeader w:val="true"/>
        </w:trPr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Ед. изм.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Общая площадь квартир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м²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5 624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Строительный объём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м³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25 792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Нормативная продолжительность строительства (МДС 12-43.2008)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мес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9,0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Продолжительность по календарному плану, в т. ч. подготовительный период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мес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9,0 / 1,2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Начало / окончание строительства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01.12.2027 / 31.08.2028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Общая трудоёмкость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чел.-дн.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20 022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Трудоёмкость на 1 м² общей площади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чел.-дн./м²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3,56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Максимальное / среднее число рабочих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чел.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156 / 108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Коэффициент неравномерности движения рабочих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1,44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Максимальная численность работающих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чел.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186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Количество свай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шт.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352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Монтажный кран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КБ-405.1А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Площадь строительной площадки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га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1,70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Площадь застройки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м²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1 156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Протяжённость временных дорог / ограждения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197 / 570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Площадь временных зданий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м²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583,2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Площадь складов: открытых / навесов / закрытых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м²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1 012 / 98 / 73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Расчётная электрическая мощность / трансформатор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кВ·А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304 / КТПН-400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Расчётный расход воды (с пожаротушением)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л/с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10,89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Потребность в тепле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кВт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513</w:t>
            </w:r>
          </w:p>
        </w:tc>
      </w:tr>
      <w:tr>
        <w:trPr/>
        <w:tc>
          <w:tcPr>
            <w:tcW w:w="555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Потребность в дизельном топливе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т</w:t>
            </w:r>
          </w:p>
        </w:tc>
        <w:tc>
          <w:tcPr>
            <w:tcW w:w="24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206,6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  <w:r>
        <w:br w:type="page"/>
      </w:r>
    </w:p>
    <w:p>
      <w:pPr>
        <w:pStyle w:val="Heading1"/>
        <w:ind w:hanging="0"/>
        <w:jc w:val="center"/>
        <w:rPr/>
      </w:pPr>
      <w:bookmarkStart w:id="45" w:name="__RefHeading___Toc11597_1443700011"/>
      <w:bookmarkEnd w:id="45"/>
      <w:r>
        <w:rPr>
          <w:rFonts w:eastAsia="Times New Roman" w:cs="Times New Roman"/>
        </w:rPr>
        <w:t>СПИСОК ИСПОЛЬЗОВАННЫХ ИСТОЧНИКОВ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1. Градостроительный кодекс Российской Федерации от 29.12.2004 № 190-ФЗ.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2. Трудовой кодекс Российской Федерации от 30.12.2001 № 197-ФЗ (гл. 47, 50).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3. Положение о составе разделов проектной документации и требованиях к их содержанию : утв. постановлением Правительства РФ от 16.02.2008 № 87.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4. МДС 12-43.2008. Нормирование продолжительности строительства зданий и сооружений. — М. : ЦНИИОМТП, 2008.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5. МДС 12-81.2007. Методические рекомендации по разработке и оформлению проекта организации строительства и проекта производства работ. — М. : ЦНИИОМТП, 2007.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6. МДС 12-46.2008. Методические рекомендации по разработке и оформлению проекта организации строительства, проекта организации работ по сносу (демонтажу), проекта производства работ. — М. : ЦНИИОМТП, 2009.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7. СНиП 1.04.03-85*. Нормы продолжительности строительства и задела в строительстве предприятий, зданий и сооружений.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8. Пособие по определению продолжительности строительства предприятий, зданий и сооружений (к СНиП 1.04.03-85*). — М. : ЦНИИОМТП.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9. СП 48.13330.2019. Организация строительства. СНиП 12-01-2004.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10. СП 131.13330.2025. Строительная климатология (взамен СП 131.13330.2020).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11. СП 20.13330.2016. Нагрузки и воздействия. СНиП 2.01.07-85* (с изменениями).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12. СП 25.13330.2020. Основания и фундаменты на вечномерзлых грунтах. СНиП 2.02.04-88.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13. СП 24.13330.2021. Свайные фундаменты. СНиП 2.02.03-85.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14. СП 45.13330.2017. Земляные сооружения, основания и фундаменты. СНиП 3.02.01-87.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15. СП 70.13330.2012. Несущие и ограждающие конструкции. СНиП 3.03.01-87.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16. СП 71.13330.2017. Изоляционные и отделочные покрытия. СНиП 3.04.01-87.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17. СП 73.13330.2016. Внутренние санитарно-технические системы зданий. СНиП 3.05.01-85.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18. СП 126.13330.2017. Геодезические работы в строительстве. СНиП 3.01.03-84.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19. СП 305.1325800.2017. Здания и сооружения. Правила проведения геотехнического мониторинга при строительстве.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20. СНиП 12-03-2001. Безопасность труда в строительстве. Ч. 1. Общие требования.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21. СНиП 12-04-2002. Безопасность труда в строительстве. Ч. 2. Строительное производство.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22. Правила по охране труда при строительстве, реконструкции и ремонте : утв. приказом Минтруда России от 11.12.2020 № 883н.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23. Правила по охране труда при работе на высоте : утв. приказом Минтруда России от 16.11.2020 № 782н.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24. ФНП в области промышленной безопасности «Правила безопасности опасных производственных объектов, на которых используются подъёмные сооружения» : утв. приказом Ростехнадзора от 26.11.2020 № 461.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25. Правила противопожарного режима в Российской Федерации : утв. постановлением Правительства РФ от 16.09.2020 № 1479.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26. РД 11-02-2006. Требования к составу и порядку ведения исполнительной документации при строительстве, реконструкции, капитальном ремонте объектов капитального строительства и требования, предъявляемые к актам освидетельствования работ, конструкций, участков сетей инженерно-технического обеспечения.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27. РД-11-06-2007. Методические рекомендации о порядке разработки проектов производства работ грузоподъёмными машинами и технологических карт погрузочно-разгрузочных работ.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28. ГОСТ Р 58967-2020. Ограждения инвентарные строительных площадок и участков производства строительно-монтажных работ. Технические условия.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29. ГОСТ Р 12.3.053-2020. ССБТ. Строительство. Ограждения предохранительные временные. Общие технические условия.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30. ГОСТ 12.1.046-2014. ССБТ. Строительство. Нормы освещения строительных площадок.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31. ГОСТ 5686-2020. Грунты. Методы полевых испытаний сваями.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32. МР 2.2.7.2129-06. Режимы труда и отдыха работающих в холодное время на открытой территории или в неотапливаемых помещениях.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33. Распоряжение Минтранса России от 14.03.2008 № АМ-23-р «О введении в действие методических рекомендаций „Нормы расхода топлив и смазочных материалов на автомобильном транспорте“».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/>
        </w:rPr>
        <w:t>34. Расчётные нормативы для составления проектов организации строительства. Ч. 1. — М. : Стройиздат.</w:t>
      </w:r>
    </w:p>
    <w:p>
      <w:pPr>
        <w:sectPr>
          <w:footerReference w:type="even" r:id="rId4"/>
          <w:footerReference w:type="default" r:id="rId5"/>
          <w:footerReference w:type="first" r:id="rId6"/>
          <w:type w:val="nextPage"/>
          <w:pgSz w:w="11906" w:h="16838"/>
          <w:pgMar w:left="1701" w:right="850" w:gutter="0" w:header="0" w:top="1134" w:footer="720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ind w:firstLine="709"/>
        <w:jc w:val="both"/>
        <w:rPr/>
      </w:pPr>
      <w:r>
        <w:rPr>
          <w:rFonts w:eastAsia="Times New Roman" w:cs="Times New Roman"/>
        </w:rPr>
        <w:t>35. Строительный каталог. Ч. 2. Типовые проекты предприятий, зданий и сооружений. Типовой проект 148-037сп/1.2. Блок-секция 9-этажная 18-квартирная с двойным поворотом прямая 4Б–4Б. — М. : ЦИТП, 1983.</w:t>
      </w:r>
      <w:r>
        <w:br w:type="page"/>
      </w:r>
    </w:p>
    <w:p>
      <w:pPr>
        <w:pStyle w:val="Heading1"/>
        <w:pageBreakBefore w:val="false"/>
        <w:spacing w:lineRule="auto" w:line="240" w:before="0" w:after="120"/>
        <w:ind w:hanging="0"/>
        <w:jc w:val="center"/>
        <w:rPr/>
      </w:pPr>
      <w:bookmarkStart w:id="46" w:name="__RefHeading___Toc11599_1443700011"/>
      <w:bookmarkEnd w:id="46"/>
      <w:r>
        <w:rPr>
          <w:rFonts w:eastAsia="Times New Roman" w:cs="Times New Roman"/>
        </w:rPr>
        <w:t>ПРИЛОЖЕНИЕ А</w:t>
        <w:br/>
        <w:t>(обязательное)</w:t>
        <w:br/>
        <w:t>Календарный план строительства и график движения рабочих кадров</w:t>
      </w:r>
    </w:p>
    <w:p>
      <w:pPr>
        <w:pStyle w:val="Normal"/>
        <w:keepNext w:val="true"/>
        <w:spacing w:before="120" w:after="0"/>
        <w:ind w:hanging="0"/>
        <w:jc w:val="left"/>
        <w:rPr/>
      </w:pPr>
      <w:r>
        <w:rPr>
          <w:rFonts w:eastAsia="Times New Roman" w:cs="Times New Roman"/>
        </w:rPr>
        <w:t>Таблица А.1 – Календарный план производства работ</w:t>
      </w:r>
    </w:p>
    <w:tbl>
      <w:tblPr>
        <w:tblStyle w:val="TableGrid"/>
        <w:tblW w:w="1343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4"/>
        <w:gridCol w:w="5329"/>
        <w:gridCol w:w="1134"/>
        <w:gridCol w:w="1361"/>
        <w:gridCol w:w="736"/>
        <w:gridCol w:w="907"/>
        <w:gridCol w:w="1305"/>
        <w:gridCol w:w="1304"/>
        <w:gridCol w:w="905"/>
      </w:tblGrid>
      <w:tr>
        <w:trPr>
          <w:tblHeader w:val="true"/>
        </w:trPr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№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Наименование работ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Объём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Трудо-</w:t>
            </w:r>
          </w:p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ёмкость,</w:t>
            </w:r>
          </w:p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чел.-дн.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Смен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Рабочих в день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Начало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Окончание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Раб. дней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Геодезическая разбивочная основа, очистка территории от снега, планировка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120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01.12.2027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10.12.2027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Временное ограждение, КПП, пункт очистки колёс, информационный щит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140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01.12.2027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15.12.2027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Временные дороги и площадки складирования (ж/б плиты по щебню)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260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06.12.2027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28.12.2027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Установка инвентарных зданий (блок-контейнеров), тёплые переходы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160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01.12.2027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20.12.2027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Временные сети: электроснабжение (КТП), освещение, водопровод, канализация, связь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220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06.12.2027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30.12.2027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Бурение скважин и погружение буроопускных свай (352 шт.)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352 шт.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640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13.12.2027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04.02.2028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34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Подкрановый путь, монтаж и опробование башенного крана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200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10.01.2028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18.02.2028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30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Срубка голов свай, монолитный ж/б ростверк с электропрогревом в тепляках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305 м³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1 100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31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10.01.2028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29.02.2028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36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Цокольные конструкции, перекрытие над подпольем, утепление, вводы сетей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636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21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31.01.2028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15.03.2028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31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Монтаж сборных конструкций 1–9 этажей, чердака и покрытия, замоноличивание узлов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3 904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57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21.02.2028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31.05.2028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69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Герметизация и утепление стыков наружных стеновых панелей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509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15.03.2028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09.06.2028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61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Тепловой ввод, подключение системы отопления по временной схеме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220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01.03.2028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31.03.2028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22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Кровля: утепление, кровельные панели, примыкания, внутренний водосток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509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06.04.2028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20.06.2028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51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Заполнение проёмов, двери, остекление лоджий, ограждения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509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01.04.2028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30.06.2028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62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Внутренние санитарно-технические системы (I и II стадии)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1 867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01.03.2028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31.07.2028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105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Электромонтажные работы (I и II стадии), электроплиты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1 018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01.03.2028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31.07.2028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105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Отделочные работы (шпаклёвка, окраска, обои, облицовка)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3 395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36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03.04.2028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15.08.2028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94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Монтаж лифтов и мусоропроводов, пусконаладка лифтов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339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15.05.2028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31.07.2028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55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Устройство полов (стяжки, линолеум, ламинат, плитка)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1 358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22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01.06.2028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25.08.2028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61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Слаботочные системы (связь, ТВ, домофон, АПС, диспетчеризация)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339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01.06.2028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10.08.2028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50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21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Прочие работы (входы, крыльца, отмостка, лоджии, встроенное оборудование)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849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13.06.2028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25.08.2028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54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22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Демонтаж башенного крана и подкранового пути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80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05.06.2028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30.06.2028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23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Наружные сети водопровода, канализации, электроснабжения, связи (утилидоры)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800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13.06.2028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10.08.2028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43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24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Благоустройство и озеленение территории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680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10.07.2028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25.08.2028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35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25</w:t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Пусконаладочные работы, уборка, сдача объекта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170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1,0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01.08.2028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31.08.2028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22"/>
                <w:lang w:val="en-US" w:eastAsia="en-US" w:bidi="ar-SA"/>
              </w:rPr>
              <w:t>23</w:t>
            </w:r>
          </w:p>
        </w:tc>
      </w:tr>
      <w:tr>
        <w:trPr/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32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20 022</w:t>
            </w:r>
          </w:p>
        </w:tc>
        <w:tc>
          <w:tcPr>
            <w:tcW w:w="736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01.12.2027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31.08.2028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2"/>
                <w:lang w:val="en-US" w:eastAsia="en-US" w:bidi="ar-SA"/>
              </w:rPr>
              <w:t>186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keepNext w:val="true"/>
        <w:ind w:hanging="0"/>
        <w:jc w:val="center"/>
        <w:rPr/>
      </w:pPr>
      <w:r>
        <w:rPr/>
        <w:drawing>
          <wp:inline distT="0" distB="0" distL="0" distR="0">
            <wp:extent cx="8639810" cy="574611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8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</w:rPr>
        <w:t>Рисунок А.1 – Календарный план строительства (линейный график) и график движения рабочих кадров</w:t>
      </w:r>
      <w:r>
        <w:br w:type="page"/>
      </w:r>
    </w:p>
    <w:p>
      <w:pPr>
        <w:pStyle w:val="Heading1"/>
        <w:spacing w:lineRule="auto" w:line="240" w:before="0" w:after="120"/>
        <w:ind w:hanging="0"/>
        <w:jc w:val="center"/>
        <w:rPr/>
      </w:pPr>
      <w:bookmarkStart w:id="47" w:name="__RefHeading___Toc11601_1443700011"/>
      <w:bookmarkEnd w:id="47"/>
      <w:r>
        <w:rPr>
          <w:rFonts w:eastAsia="Times New Roman" w:cs="Times New Roman"/>
        </w:rPr>
        <w:t>ПРИЛОЖЕНИЕ Б</w:t>
        <w:br/>
        <w:t>(обязательное)</w:t>
        <w:br/>
        <w:t>Строительный генеральный план на период возведения надземной части (схема)</w:t>
      </w:r>
    </w:p>
    <w:p>
      <w:pPr>
        <w:pStyle w:val="Normal"/>
        <w:keepNext w:val="true"/>
        <w:ind w:hanging="0"/>
        <w:jc w:val="center"/>
        <w:rPr/>
      </w:pPr>
      <w:r>
        <w:rPr/>
        <w:drawing>
          <wp:inline distT="0" distB="0" distL="0" distR="0">
            <wp:extent cx="7560310" cy="428244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ind w:hanging="0"/>
        <w:jc w:val="center"/>
        <w:rPr/>
      </w:pPr>
      <w:r>
        <w:rPr>
          <w:rFonts w:eastAsia="Times New Roman" w:cs="Times New Roman"/>
        </w:rPr>
        <w:t>Рисунок Б.1 – Схема строительного генерального плана</w:t>
      </w:r>
    </w:p>
    <w:p>
      <w:pPr>
        <w:pStyle w:val="Normal"/>
        <w:ind w:hanging="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0"/>
        <w:ind w:hanging="0"/>
        <w:jc w:val="left"/>
        <w:rPr/>
      </w:pPr>
      <w:r>
        <w:rPr>
          <w:rFonts w:eastAsia="Times New Roman" w:cs="Times New Roman"/>
        </w:rPr>
        <w:t>Таблица Б.1 – Экспликация объектов строительного хозяйства</w:t>
      </w:r>
    </w:p>
    <w:tbl>
      <w:tblPr>
        <w:tblStyle w:val="TableGrid"/>
        <w:tblW w:w="130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7"/>
        <w:gridCol w:w="6802"/>
        <w:gridCol w:w="3685"/>
        <w:gridCol w:w="1984"/>
      </w:tblGrid>
      <w:tr>
        <w:trPr>
          <w:tblHeader w:val="true"/>
        </w:trPr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Наименование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Характеристика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Кол-во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Строящийся жилой дом (4 секции)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110,4 × 10,8 м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Башенный кран КБ-405.1А на подкрановом пути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путь 112,5 м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Открытые склады сборных конструкций (в период свайных работ — склад свай)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1 012 м² (151 м²)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 участка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Навес; закрытый склад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98 м²; 73 м²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1; 5 конт.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Бытовой городок (блок-контейнеры в 2 яруса)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583,2 м²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40 конт.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КПП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2,4 × 3,0 м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Пункт очистки колёс с оборотным водоснабжением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Трансформаторная подстанция КТПН-400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Временная дорога (одностороннее кольцо)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197 м, ≈ 990 м²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Временное ограждение h = 2,0 м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570 м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11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Прожекторные мачты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Пожарные щиты; гидранты (существующие)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3; 2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13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Контейнеры для строительных отходов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 площадка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sectPr>
      <w:footerReference w:type="default" r:id="rId9"/>
      <w:footerReference w:type="first" r:id="rId10"/>
      <w:type w:val="nextPage"/>
      <w:pgSz w:orient="landscape" w:w="16838" w:h="11906"/>
      <w:pgMar w:left="1134" w:right="850" w:gutter="0" w:header="0" w:top="1134" w:footer="72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66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240" w:after="120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i w:val="false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240" w:after="120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false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 w:customStyle="1">
    <w:name w:val="TOC 1"/>
    <w:basedOn w:val="Normal"/>
    <w:pPr>
      <w:spacing w:lineRule="auto" w:line="360"/>
      <w:ind w:hanging="0" w:left="0"/>
      <w:jc w:val="left"/>
    </w:pPr>
    <w:rPr/>
  </w:style>
  <w:style w:type="paragraph" w:styleId="TOC2" w:customStyle="1">
    <w:name w:val="TOC 2"/>
    <w:basedOn w:val="Normal"/>
    <w:pPr>
      <w:spacing w:lineRule="auto" w:line="360"/>
      <w:ind w:hanging="0" w:left="283"/>
      <w:jc w:val="left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66</Pages>
  <Words>13333</Words>
  <Characters>83595</Characters>
  <CharactersWithSpaces>95248</CharactersWithSpaces>
  <Paragraphs>2010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2026-10-29T08:40:10Z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