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Quality Intelligence Platform - AI Resources &amp; Data Resources Requirement</w:t>
      </w:r>
    </w:p>
    <w:p>
      <w:pPr>
        <w:pStyle w:val="Heading2"/>
      </w:pPr>
      <w:r>
        <w:t>版本信息</w:t>
      </w:r>
    </w:p>
    <w:p>
      <w:r>
        <w:t>Version: V0.1</w:t>
        <w:br/>
        <w:t>Status: Frozen</w:t>
        <w:br/>
        <w:t>Document Type: Product Requirement</w:t>
      </w:r>
    </w:p>
    <w:p>
      <w:pPr>
        <w:pStyle w:val="Heading2"/>
      </w:pPr>
      <w:r>
        <w:t>文档目的</w:t>
      </w:r>
    </w:p>
    <w:p>
      <w:r>
        <w:t>定义企业智能质量平台中的资源管理体系，明确 AI Resources 与 Data Resources 的分类、边界、关系和管理原则。</w:t>
      </w:r>
    </w:p>
    <w:p>
      <w:pPr>
        <w:pStyle w:val="Heading2"/>
      </w:pPr>
      <w:r>
        <w:t>配置管理导航</w:t>
      </w:r>
    </w:p>
    <w:p>
      <w:r>
        <w:t>配置管理</w:t>
        <w:br/>
        <w:t>├ 分析任务</w:t>
        <w:br/>
        <w:t>├ Agents</w:t>
        <w:br/>
        <w:t>├ AI Resources</w:t>
        <w:br/>
        <w:t>│ ├ Models</w:t>
        <w:br/>
        <w:t>│ ├ Tools</w:t>
        <w:br/>
        <w:t>│ ├ MCP Servers</w:t>
        <w:br/>
        <w:t>│ └ Knowledge Sources</w:t>
        <w:br/>
        <w:t>└ Data Resources</w:t>
        <w:br/>
        <w:t xml:space="preserve">  ├ Datasources</w:t>
        <w:br/>
        <w:t xml:space="preserve">  └ Data Assets</w:t>
      </w:r>
    </w:p>
    <w:p>
      <w:pPr>
        <w:pStyle w:val="Heading2"/>
      </w:pPr>
      <w:r>
        <w:t>AI Resources</w:t>
      </w:r>
    </w:p>
    <w:p>
      <w:r>
        <w:t>管理 Agent 执行过程中使用的 AI 能力资源，包括 Models、Tools、MCP Servers、Knowledge Sources。</w:t>
      </w:r>
    </w:p>
    <w:p>
      <w:pPr>
        <w:pStyle w:val="Heading2"/>
      </w:pPr>
      <w:r>
        <w:t>Data Resources</w:t>
      </w:r>
    </w:p>
    <w:p>
      <w:r>
        <w:t>管理分析任务和 Evaluation Agent 使用的数据资源，包括 Datasources 与 Data Assets。</w:t>
      </w:r>
    </w:p>
    <w:p>
      <w:pPr>
        <w:pStyle w:val="Heading2"/>
      </w:pPr>
      <w:r>
        <w:t>Data Definition 边界</w:t>
      </w:r>
    </w:p>
    <w:p>
      <w:r>
        <w:t>Data Definition 不属于 Resource。</w:t>
        <w:br/>
        <w:t>Datasource → Data Asset → Data Definition → Analysis Task</w:t>
      </w:r>
    </w:p>
    <w:p>
      <w:pPr>
        <w:pStyle w:val="Heading2"/>
      </w:pPr>
      <w:r>
        <w:t>Resource 与 Agent / Workflow 关系</w:t>
      </w:r>
    </w:p>
    <w:p>
      <w:r>
        <w:t>Agent 不直接保存 Resource 引用。</w:t>
        <w:br/>
        <w:t>Agent → Workflow → Workflow Version → Node Config → Resource</w:t>
      </w:r>
    </w:p>
    <w:p>
      <w:pPr>
        <w:pStyle w:val="Heading2"/>
      </w:pPr>
      <w:r>
        <w:t>版本策略</w:t>
      </w:r>
    </w:p>
    <w:p>
      <w:r>
        <w:t>Tool 支持 ToolVersion；Model 支持 Model Version；MCP Server、Knowledge Source、Datasource、Data Asset 当前暂不设计版本机制。</w:t>
      </w:r>
    </w:p>
    <w:p>
      <w:pPr>
        <w:pStyle w:val="Heading2"/>
      </w:pPr>
      <w:r>
        <w:t>创建方式</w:t>
      </w:r>
    </w:p>
    <w:p>
      <w:r>
        <w:t>统一采用 Wizard：选择资源类型 → 填写类型表单 → 测试 → 保存。</w:t>
      </w:r>
    </w:p>
    <w:p>
      <w:pPr>
        <w:pStyle w:val="Heading2"/>
      </w:pPr>
      <w:r>
        <w:t>技术设计原则</w:t>
      </w:r>
    </w:p>
    <w:p>
      <w:r>
        <w:t>不采用万能 Resource 表，保持强类型资源模型。Resource Registry 负责资源注册、查询、状态管理、引用管理。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