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ABC" w:rsidRDefault="00F66ABC" w:rsidP="00F66ABC">
      <w:pPr>
        <w:pStyle w:val="Heading1"/>
      </w:pPr>
      <w:r>
        <w:t>4.4</w:t>
      </w:r>
    </w:p>
    <w:p w:rsidR="00F66ABC" w:rsidRDefault="009C6F0D" w:rsidP="00F66ABC">
      <w:r>
        <w:rPr>
          <w:rFonts w:hint="eastAsia"/>
        </w:rPr>
        <w:t>(</w:t>
      </w:r>
      <w:r>
        <w:t>a</w:t>
      </w:r>
      <w:r>
        <w:rPr>
          <w:rFonts w:hint="eastAsia"/>
        </w:rPr>
        <w:t>)</w:t>
      </w:r>
    </w:p>
    <w:p w:rsidR="009C6F0D" w:rsidRDefault="009C6F0D" w:rsidP="00F66ABC">
      <w:r>
        <w:t xml:space="preserve">The point estimate for the average height is equal to the sample mean, which is 171.1 centimeters. </w:t>
      </w:r>
    </w:p>
    <w:p w:rsidR="009C6F0D" w:rsidRDefault="009C6F0D" w:rsidP="009C6F0D">
      <w:r>
        <w:t xml:space="preserve">The point estimate for the median height is equal to the sample median, which is 170.3 centimeters. </w:t>
      </w:r>
    </w:p>
    <w:p w:rsidR="009C6F0D" w:rsidRDefault="00277678" w:rsidP="00F66ABC">
      <w:r>
        <w:t>(b)</w:t>
      </w:r>
    </w:p>
    <w:p w:rsidR="00277678" w:rsidRDefault="00277678" w:rsidP="00F66ABC">
      <w:r>
        <w:t>T</w:t>
      </w:r>
      <w:r w:rsidRPr="00277678">
        <w:t>he point estimate for the standard deviation of the heights of active individuals</w:t>
      </w:r>
      <w:r>
        <w:t xml:space="preserve"> is 9.4.</w:t>
      </w:r>
    </w:p>
    <w:p w:rsidR="00277678" w:rsidRDefault="00277678" w:rsidP="00F66ABC">
      <w:r>
        <w:t>The IQR = Q3 – Q1 = 14</w:t>
      </w:r>
    </w:p>
    <w:p w:rsidR="00277678" w:rsidRDefault="00277678" w:rsidP="00F66ABC">
      <w:r>
        <w:t>(c)</w:t>
      </w:r>
    </w:p>
    <w:p w:rsidR="00277678" w:rsidRDefault="00277678" w:rsidP="00CE702E">
      <w:pPr>
        <w:tabs>
          <w:tab w:val="center" w:pos="4513"/>
        </w:tabs>
      </w:pPr>
      <w:r>
        <w:t xml:space="preserve">For 180 cm, </w:t>
      </w:r>
      <w:r w:rsidR="00CE702E" w:rsidRPr="004033C7">
        <w:rPr>
          <w:position w:val="-24"/>
        </w:rPr>
        <w:object w:dxaOrig="2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9pt;height:31pt" o:ole="">
            <v:imagedata r:id="rId6" o:title=""/>
          </v:shape>
          <o:OLEObject Type="Embed" ProgID="Equation.DSMT4" ShapeID="_x0000_i1025" DrawAspect="Content" ObjectID="_1537038850" r:id="rId7"/>
        </w:object>
      </w:r>
      <w:r w:rsidR="00CE702E">
        <w:t>, which is not unusually tall since it is within 1 SD of the mean.</w:t>
      </w:r>
    </w:p>
    <w:p w:rsidR="00CE702E" w:rsidRPr="00277678" w:rsidRDefault="00CE702E" w:rsidP="00CE702E">
      <w:pPr>
        <w:tabs>
          <w:tab w:val="center" w:pos="4513"/>
        </w:tabs>
      </w:pPr>
      <w:r>
        <w:t xml:space="preserve">For 155 cm, </w:t>
      </w:r>
      <w:r w:rsidRPr="004033C7">
        <w:rPr>
          <w:position w:val="-24"/>
        </w:rPr>
        <w:object w:dxaOrig="2460" w:dyaOrig="620">
          <v:shape id="_x0000_i1026" type="#_x0000_t75" style="width:122.95pt;height:31pt" o:ole="">
            <v:imagedata r:id="rId8" o:title=""/>
          </v:shape>
          <o:OLEObject Type="Embed" ProgID="Equation.DSMT4" ShapeID="_x0000_i1026" DrawAspect="Content" ObjectID="_1537038851" r:id="rId9"/>
        </w:object>
      </w:r>
      <w:r>
        <w:t>, which is not unusually short since it is within 2 SD of the mean.</w:t>
      </w:r>
    </w:p>
    <w:p w:rsidR="006D25E8" w:rsidRDefault="00277678" w:rsidP="00277678">
      <w:r w:rsidRPr="00277678">
        <w:t xml:space="preserve">(d) </w:t>
      </w:r>
    </w:p>
    <w:p w:rsidR="00CE702E" w:rsidRDefault="00277678" w:rsidP="00277678">
      <w:r w:rsidRPr="00277678">
        <w:t xml:space="preserve">No. </w:t>
      </w:r>
      <w:r w:rsidR="00CE702E">
        <w:t xml:space="preserve">The mean and the standard deviation of the new sample will be slightly different from the ones given above. The parameters of each sample are </w:t>
      </w:r>
      <w:r w:rsidRPr="00277678">
        <w:t>estimates</w:t>
      </w:r>
      <w:r w:rsidR="00CE702E">
        <w:t xml:space="preserve"> of the population parameters, and they vary from one sam</w:t>
      </w:r>
      <w:r w:rsidRPr="00277678">
        <w:t>ple to another</w:t>
      </w:r>
      <w:r w:rsidR="00CE702E">
        <w:t xml:space="preserve"> because of randomness</w:t>
      </w:r>
      <w:r w:rsidRPr="00277678">
        <w:t xml:space="preserve">. </w:t>
      </w:r>
    </w:p>
    <w:p w:rsidR="006D25E8" w:rsidRDefault="00277678" w:rsidP="00277678">
      <w:r w:rsidRPr="00277678">
        <w:t xml:space="preserve">(e) </w:t>
      </w:r>
    </w:p>
    <w:p w:rsidR="00277678" w:rsidRDefault="00277678" w:rsidP="00277678">
      <w:r w:rsidRPr="00277678">
        <w:t>We use the SE</w:t>
      </w:r>
      <w:r w:rsidR="003E67ED" w:rsidRPr="003E67ED">
        <w:rPr>
          <w:rFonts w:ascii="CMR9" w:hAnsi="CMR9" w:cs="CMR9"/>
          <w:sz w:val="18"/>
          <w:szCs w:val="18"/>
        </w:rPr>
        <w:t xml:space="preserve"> </w:t>
      </w:r>
      <w:r w:rsidR="003E67ED" w:rsidRPr="003E67ED">
        <w:t>to quantify the variability of such an estimate</w:t>
      </w:r>
      <w:r w:rsidRPr="00277678">
        <w:t>, which is</w:t>
      </w:r>
      <w:r w:rsidR="003E67ED">
        <w:t xml:space="preserve"> </w:t>
      </w:r>
      <w:r w:rsidR="003E67ED" w:rsidRPr="004033C7">
        <w:rPr>
          <w:position w:val="-28"/>
        </w:rPr>
        <w:object w:dxaOrig="1420" w:dyaOrig="660">
          <v:shape id="_x0000_i1027" type="#_x0000_t75" style="width:70.95pt;height:33.15pt" o:ole="">
            <v:imagedata r:id="rId10" o:title=""/>
          </v:shape>
          <o:OLEObject Type="Embed" ProgID="Equation.DSMT4" ShapeID="_x0000_i1027" DrawAspect="Content" ObjectID="_1537038852" r:id="rId11"/>
        </w:object>
      </w:r>
      <w:r w:rsidRPr="00277678">
        <w:t>for this sample's mean.</w:t>
      </w:r>
    </w:p>
    <w:p w:rsidR="002239AB" w:rsidRPr="00F66ABC" w:rsidRDefault="002239AB" w:rsidP="00277678"/>
    <w:p w:rsidR="00F66ABC" w:rsidRDefault="00F66ABC" w:rsidP="00F66ABC">
      <w:pPr>
        <w:pStyle w:val="Heading1"/>
      </w:pPr>
      <w:r>
        <w:t>4.6</w:t>
      </w:r>
    </w:p>
    <w:p w:rsidR="006D25E8" w:rsidRDefault="00E65CA5" w:rsidP="00E65CA5">
      <w:r w:rsidRPr="00E65CA5">
        <w:t xml:space="preserve">(a) </w:t>
      </w:r>
    </w:p>
    <w:p w:rsidR="00E65CA5" w:rsidRPr="00E65CA5" w:rsidRDefault="00E65CA5" w:rsidP="00E65CA5">
      <w:r w:rsidRPr="00E65CA5">
        <w:t>We are</w:t>
      </w:r>
      <w:r>
        <w:t xml:space="preserve"> building a distribution of sam</w:t>
      </w:r>
      <w:r w:rsidRPr="00E65CA5">
        <w:t>ple statistics, in this case the sample mean. Such</w:t>
      </w:r>
      <w:r>
        <w:t xml:space="preserve"> </w:t>
      </w:r>
      <w:r w:rsidRPr="00E65CA5">
        <w:t>a distribution is called a sampling distribution.</w:t>
      </w:r>
    </w:p>
    <w:p w:rsidR="006D25E8" w:rsidRDefault="00E65CA5" w:rsidP="0098125C">
      <w:r w:rsidRPr="00E65CA5">
        <w:t xml:space="preserve">(b) </w:t>
      </w:r>
    </w:p>
    <w:p w:rsidR="0098125C" w:rsidRDefault="00E65CA5" w:rsidP="0098125C">
      <w:r w:rsidRPr="00E65CA5">
        <w:t>Because we are dealing with the distribution</w:t>
      </w:r>
      <w:r w:rsidR="0098125C">
        <w:t xml:space="preserve"> </w:t>
      </w:r>
      <w:r w:rsidRPr="00E65CA5">
        <w:t>of sample means, we need to check to see if the</w:t>
      </w:r>
      <w:r w:rsidR="0098125C">
        <w:t xml:space="preserve"> </w:t>
      </w:r>
      <w:r w:rsidRPr="00E65CA5">
        <w:t>Ce</w:t>
      </w:r>
      <w:r w:rsidR="0098125C">
        <w:t>ntral Limit Theorem applies. The</w:t>
      </w:r>
      <w:r w:rsidRPr="00E65CA5">
        <w:t xml:space="preserve"> sample size</w:t>
      </w:r>
      <w:r w:rsidR="0098125C">
        <w:t xml:space="preserve"> is less</w:t>
      </w:r>
      <w:r w:rsidRPr="00E65CA5">
        <w:t xml:space="preserve"> than 30, </w:t>
      </w:r>
      <w:r w:rsidR="0098125C">
        <w:t>so it does not meet the demand of Central Limit Theorem. The distribution of sample means may not be normal. I think the shape of this distribution could be symmetric, right skewed or left skewed. There is not enough information to judge. It could be symmetric if the 100 times of sampling are randomly and widely selected, and people within a sample are not biased and their attitudes are independent.</w:t>
      </w:r>
    </w:p>
    <w:p w:rsidR="006D25E8" w:rsidRDefault="00E65CA5" w:rsidP="00E65CA5">
      <w:r w:rsidRPr="00E65CA5">
        <w:t xml:space="preserve">(c) </w:t>
      </w:r>
    </w:p>
    <w:p w:rsidR="00E65CA5" w:rsidRPr="00E65CA5" w:rsidRDefault="00E65CA5" w:rsidP="00E65CA5">
      <w:r w:rsidRPr="00E65CA5">
        <w:lastRenderedPageBreak/>
        <w:t>Because we are dealing with a</w:t>
      </w:r>
      <w:r w:rsidR="002D4182">
        <w:t xml:space="preserve"> </w:t>
      </w:r>
      <w:r w:rsidRPr="00E65CA5">
        <w:t>sampling distri</w:t>
      </w:r>
      <w:r w:rsidR="002D4182">
        <w:t>bution, we measure its variabil</w:t>
      </w:r>
      <w:r w:rsidRPr="00E65CA5">
        <w:t xml:space="preserve">ity with the standard error. SE </w:t>
      </w:r>
      <w:r w:rsidR="002D4182">
        <w:t xml:space="preserve">= </w:t>
      </w:r>
      <w:r w:rsidR="0092374B" w:rsidRPr="004033C7">
        <w:rPr>
          <w:position w:val="-28"/>
        </w:rPr>
        <w:object w:dxaOrig="1760" w:dyaOrig="999">
          <v:shape id="_x0000_i1131" type="#_x0000_t75" style="width:87.7pt;height:49.9pt" o:ole="">
            <v:imagedata r:id="rId12" o:title=""/>
          </v:shape>
          <o:OLEObject Type="Embed" ProgID="Equation.DSMT4" ShapeID="_x0000_i1131" DrawAspect="Content" ObjectID="_1537038853" r:id="rId13"/>
        </w:object>
      </w:r>
      <w:r w:rsidR="005359AA">
        <w:t xml:space="preserve">in approximate </w:t>
      </w:r>
      <w:r w:rsidR="004350BB">
        <w:t>calculation</w:t>
      </w:r>
      <w:r w:rsidR="005359AA">
        <w:t>.</w:t>
      </w:r>
      <w:r w:rsidR="0092374B">
        <w:t xml:space="preserve"> </w:t>
      </w:r>
      <w:r w:rsidR="00291F86">
        <w:t>Based on the data of one sample, w</w:t>
      </w:r>
      <w:r w:rsidR="0092374B">
        <w:t xml:space="preserve">e assume </w:t>
      </w:r>
      <w:r w:rsidR="005338AB">
        <w:t xml:space="preserve">that </w:t>
      </w:r>
      <w:r w:rsidR="0092374B">
        <w:t xml:space="preserve">the probability p = 14/15, </w:t>
      </w:r>
      <w:r w:rsidR="005338AB">
        <w:t xml:space="preserve">and </w:t>
      </w:r>
      <w:r w:rsidR="0092374B">
        <w:t xml:space="preserve">the standard deviation is equal to </w:t>
      </w:r>
      <w:r w:rsidR="0092374B" w:rsidRPr="0092374B">
        <w:rPr>
          <w:position w:val="-26"/>
        </w:rPr>
        <w:object w:dxaOrig="2100" w:dyaOrig="700">
          <v:shape id="_x0000_i1136" type="#_x0000_t75" style="width:104.8pt;height:34.95pt" o:ole="">
            <v:imagedata r:id="rId14" o:title=""/>
          </v:shape>
          <o:OLEObject Type="Embed" ProgID="Equation.DSMT4" ShapeID="_x0000_i1136" DrawAspect="Content" ObjectID="_1537038854" r:id="rId15"/>
        </w:object>
      </w:r>
      <w:r w:rsidR="003C5941">
        <w:t>, approximately to Bernoulli distribution.</w:t>
      </w:r>
    </w:p>
    <w:p w:rsidR="006D25E8" w:rsidRDefault="00E65CA5" w:rsidP="00E65CA5">
      <w:r w:rsidRPr="00E65CA5">
        <w:t xml:space="preserve">(d) </w:t>
      </w:r>
    </w:p>
    <w:p w:rsidR="00E726E8" w:rsidRDefault="00E65CA5" w:rsidP="00E65CA5">
      <w:r w:rsidRPr="00E65CA5">
        <w:t xml:space="preserve">The </w:t>
      </w:r>
      <w:r w:rsidR="004350BB">
        <w:t>variability of sample means will be smaller with the greater</w:t>
      </w:r>
      <w:r w:rsidR="00667A01">
        <w:t xml:space="preserve"> sample size. Because of</w:t>
      </w:r>
      <w:r w:rsidR="00667A01" w:rsidRPr="004033C7">
        <w:rPr>
          <w:position w:val="-28"/>
        </w:rPr>
        <w:object w:dxaOrig="940" w:dyaOrig="660">
          <v:shape id="_x0000_i1139" type="#_x0000_t75" style="width:47.05pt;height:32.8pt" o:ole="">
            <v:imagedata r:id="rId16" o:title=""/>
          </v:shape>
          <o:OLEObject Type="Embed" ProgID="Equation.DSMT4" ShapeID="_x0000_i1139" DrawAspect="Content" ObjectID="_1537038855" r:id="rId17"/>
        </w:object>
      </w:r>
      <w:r w:rsidR="00667A01">
        <w:t>, if n increases, SE will decrease.</w:t>
      </w:r>
    </w:p>
    <w:p w:rsidR="002239AB" w:rsidRPr="00E726E8" w:rsidRDefault="002239AB" w:rsidP="00E65CA5"/>
    <w:p w:rsidR="00F66ABC" w:rsidRDefault="00F66ABC" w:rsidP="00F66ABC">
      <w:pPr>
        <w:pStyle w:val="Heading1"/>
      </w:pPr>
      <w:r>
        <w:t>4.8</w:t>
      </w:r>
    </w:p>
    <w:p w:rsidR="00CE5416" w:rsidRPr="00CE5416" w:rsidRDefault="00CE5416" w:rsidP="00CE5416">
      <w:r w:rsidRPr="00CE5416">
        <w:t xml:space="preserve">Recall that </w:t>
      </w:r>
      <w:bookmarkStart w:id="0" w:name="OLE_LINK1"/>
      <w:bookmarkStart w:id="1" w:name="OLE_LINK2"/>
      <w:r w:rsidRPr="00CE5416">
        <w:t xml:space="preserve">the general formula </w:t>
      </w:r>
      <w:r>
        <w:t xml:space="preserve">of confidence interval </w:t>
      </w:r>
      <w:r w:rsidRPr="00CE5416">
        <w:t>is</w:t>
      </w:r>
      <w:r>
        <w:t xml:space="preserve"> point estimate</w:t>
      </w:r>
      <w:r w:rsidRPr="004033C7">
        <w:rPr>
          <w:position w:val="-6"/>
        </w:rPr>
        <w:object w:dxaOrig="859" w:dyaOrig="279">
          <v:shape id="_x0000_i1029" type="#_x0000_t75" style="width:42.75pt;height:13.9pt" o:ole="">
            <v:imagedata r:id="rId18" o:title=""/>
          </v:shape>
          <o:OLEObject Type="Embed" ProgID="Equation.DSMT4" ShapeID="_x0000_i1029" DrawAspect="Content" ObjectID="_1537038856" r:id="rId19"/>
        </w:object>
      </w:r>
      <w:bookmarkEnd w:id="0"/>
      <w:bookmarkEnd w:id="1"/>
      <w:r>
        <w:t>.</w:t>
      </w:r>
    </w:p>
    <w:p w:rsidR="00CE5416" w:rsidRPr="00CE5416" w:rsidRDefault="00CE5416" w:rsidP="00CE5416">
      <w:r w:rsidRPr="00CE5416">
        <w:t>The</w:t>
      </w:r>
      <w:r>
        <w:t xml:space="preserve"> point estimate is </w:t>
      </w:r>
      <w:r w:rsidRPr="00CE5416">
        <w:t>5</w:t>
      </w:r>
      <w:r>
        <w:t>2</w:t>
      </w:r>
      <w:r w:rsidRPr="00CE5416">
        <w:t xml:space="preserve">%, Z </w:t>
      </w:r>
      <w:r>
        <w:t>= 2.58 for a 99% confi</w:t>
      </w:r>
      <w:r w:rsidRPr="00CE5416">
        <w:t>dence level</w:t>
      </w:r>
      <w:r>
        <w:t xml:space="preserve"> of normal distribution</w:t>
      </w:r>
      <w:r w:rsidRPr="00CE5416">
        <w:t xml:space="preserve">, and SE </w:t>
      </w:r>
      <w:r>
        <w:t>= 2.4</w:t>
      </w:r>
      <w:r w:rsidRPr="00CE5416">
        <w:t xml:space="preserve">%. </w:t>
      </w:r>
      <w:r>
        <w:t xml:space="preserve">So </w:t>
      </w:r>
      <w:r w:rsidR="00CC6F58">
        <w:t xml:space="preserve">the 99% confidence interval is </w:t>
      </w:r>
      <w:r w:rsidR="00CC6F58" w:rsidRPr="004033C7">
        <w:rPr>
          <w:position w:val="-6"/>
        </w:rPr>
        <w:object w:dxaOrig="1820" w:dyaOrig="279">
          <v:shape id="_x0000_i1030" type="#_x0000_t75" style="width:90.9pt;height:13.9pt" o:ole="">
            <v:imagedata r:id="rId20" o:title=""/>
          </v:shape>
          <o:OLEObject Type="Embed" ProgID="Equation.DSMT4" ShapeID="_x0000_i1030" DrawAspect="Content" ObjectID="_1537038857" r:id="rId21"/>
        </w:object>
      </w:r>
      <w:r w:rsidR="00CC6F58">
        <w:t>. That is</w:t>
      </w:r>
      <w:r w:rsidRPr="00CE5416">
        <w:t xml:space="preserve"> </w:t>
      </w:r>
      <w:r w:rsidR="00CC6F58">
        <w:t>(45.8</w:t>
      </w:r>
      <w:r w:rsidRPr="00CE5416">
        <w:t>%</w:t>
      </w:r>
      <w:r w:rsidR="00CC6F58">
        <w:t>,</w:t>
      </w:r>
      <w:r w:rsidRPr="00CE5416">
        <w:t xml:space="preserve"> </w:t>
      </w:r>
      <w:r w:rsidR="00CC6F58">
        <w:t>58.2</w:t>
      </w:r>
      <w:r w:rsidRPr="00CE5416">
        <w:t>%)</w:t>
      </w:r>
      <w:r w:rsidR="00CC6F58">
        <w:t>.</w:t>
      </w:r>
    </w:p>
    <w:p w:rsidR="00E36191" w:rsidRDefault="00CC6F58" w:rsidP="00CC6F58">
      <w:r>
        <w:t>We are 99% confident that</w:t>
      </w:r>
      <w:r w:rsidR="00CE5416" w:rsidRPr="00CE5416">
        <w:t xml:space="preserve"> </w:t>
      </w:r>
      <w:r w:rsidRPr="00CC6F58">
        <w:t>the fraction of U.S. adult Twitter users who get some news on Twitter</w:t>
      </w:r>
      <w:r>
        <w:t xml:space="preserve"> is between 45.8% and 58.2</w:t>
      </w:r>
      <w:r w:rsidR="00CE5416" w:rsidRPr="00CE5416">
        <w:t>%.</w:t>
      </w:r>
    </w:p>
    <w:p w:rsidR="002239AB" w:rsidRPr="00E36191" w:rsidRDefault="002239AB" w:rsidP="00CC6F58"/>
    <w:p w:rsidR="00F66ABC" w:rsidRDefault="00F66ABC" w:rsidP="00F66ABC">
      <w:pPr>
        <w:pStyle w:val="Heading1"/>
      </w:pPr>
      <w:r>
        <w:t>4.10</w:t>
      </w:r>
    </w:p>
    <w:p w:rsidR="0038599D" w:rsidRDefault="0038599D" w:rsidP="0038599D">
      <w:r>
        <w:t>(a)</w:t>
      </w:r>
    </w:p>
    <w:p w:rsidR="0038599D" w:rsidRDefault="0038599D" w:rsidP="0038599D">
      <w:r>
        <w:t xml:space="preserve">False. With the significance level of 0.01, the confidence interval is (45.8%, 58.2%). There exists probability that less than half U.S. adult Twitter </w:t>
      </w:r>
      <w:r w:rsidR="009B0D74">
        <w:t>users</w:t>
      </w:r>
      <w:r>
        <w:t xml:space="preserve"> get some news on Twitter. So the data does not provide significant evidence that more than half do.</w:t>
      </w:r>
    </w:p>
    <w:p w:rsidR="009B0D74" w:rsidRDefault="009B0D74" w:rsidP="0038599D">
      <w:r>
        <w:t>(b)</w:t>
      </w:r>
    </w:p>
    <w:p w:rsidR="009B0D74" w:rsidRDefault="009B0D74" w:rsidP="0038599D">
      <w:r>
        <w:t>False. The standard error means the error of the point estimate. In this case, it is the error of estimate for the value 52%. It does not imply how many users were included in the study.</w:t>
      </w:r>
    </w:p>
    <w:p w:rsidR="009B0D74" w:rsidRDefault="009B0D74" w:rsidP="0038599D">
      <w:r>
        <w:t>(c)</w:t>
      </w:r>
    </w:p>
    <w:p w:rsidR="009B0D74" w:rsidRDefault="009B0D74" w:rsidP="0038599D">
      <w:r>
        <w:t>False. If we want to reduce the SE, we should collect more data to enlarge the sample size.</w:t>
      </w:r>
      <w:r w:rsidR="00BD13F5" w:rsidRPr="00BD13F5">
        <w:t xml:space="preserve"> </w:t>
      </w:r>
      <w:r w:rsidR="00BD13F5" w:rsidRPr="004033C7">
        <w:rPr>
          <w:position w:val="-28"/>
        </w:rPr>
        <w:object w:dxaOrig="940" w:dyaOrig="660">
          <v:shape id="_x0000_i1031" type="#_x0000_t75" style="width:47.05pt;height:33.15pt" o:ole="">
            <v:imagedata r:id="rId22" o:title=""/>
          </v:shape>
          <o:OLEObject Type="Embed" ProgID="Equation.DSMT4" ShapeID="_x0000_i1031" DrawAspect="Content" ObjectID="_1537038858" r:id="rId23"/>
        </w:object>
      </w:r>
      <w:r w:rsidR="00BD13F5">
        <w:t>.</w:t>
      </w:r>
      <w:r w:rsidR="001F43EB">
        <w:t xml:space="preserve"> To increase the value of n can reduce the value of SE.</w:t>
      </w:r>
    </w:p>
    <w:p w:rsidR="00E64877" w:rsidRDefault="00E64877" w:rsidP="0038599D">
      <w:r>
        <w:t>(d)</w:t>
      </w:r>
    </w:p>
    <w:p w:rsidR="004A7ED8" w:rsidRDefault="00E64877" w:rsidP="004A7ED8">
      <w:r>
        <w:t xml:space="preserve">False. For a 90% confidence interval, the range will be wider than a 99% confidence interval. The significance level is greater for a 90% interval. So the Z score will be smaller. </w:t>
      </w:r>
      <w:r w:rsidR="005E78CC">
        <w:t>T</w:t>
      </w:r>
      <w:r w:rsidR="005E78CC" w:rsidRPr="00CE5416">
        <w:t xml:space="preserve">he general formula </w:t>
      </w:r>
      <w:r w:rsidR="005E78CC">
        <w:t xml:space="preserve">of confidence interval </w:t>
      </w:r>
      <w:r w:rsidR="005E78CC" w:rsidRPr="00CE5416">
        <w:t>is</w:t>
      </w:r>
      <w:r w:rsidR="005E78CC">
        <w:t xml:space="preserve"> point estimate</w:t>
      </w:r>
      <w:r w:rsidR="005E78CC" w:rsidRPr="004033C7">
        <w:rPr>
          <w:position w:val="-6"/>
        </w:rPr>
        <w:object w:dxaOrig="859" w:dyaOrig="279">
          <v:shape id="_x0000_i1032" type="#_x0000_t75" style="width:42.75pt;height:13.9pt" o:ole="">
            <v:imagedata r:id="rId18" o:title=""/>
          </v:shape>
          <o:OLEObject Type="Embed" ProgID="Equation.DSMT4" ShapeID="_x0000_i1032" DrawAspect="Content" ObjectID="_1537038859" r:id="rId24"/>
        </w:object>
      </w:r>
      <w:r w:rsidR="005E78CC">
        <w:t>. So the 90% interval will not be wider. Since we are less confident for an estimate, its corresponding interval should be narrower.</w:t>
      </w:r>
    </w:p>
    <w:p w:rsidR="00F66ABC" w:rsidRDefault="00F66ABC" w:rsidP="004A7ED8">
      <w:pPr>
        <w:pStyle w:val="Heading1"/>
      </w:pPr>
      <w:r>
        <w:lastRenderedPageBreak/>
        <w:t>4.12</w:t>
      </w:r>
    </w:p>
    <w:p w:rsidR="00BD1239" w:rsidRDefault="00E50B84" w:rsidP="00E50B84">
      <w:r>
        <w:t xml:space="preserve">(a) </w:t>
      </w:r>
    </w:p>
    <w:p w:rsidR="00E50B84" w:rsidRDefault="00E50B84" w:rsidP="00E50B84">
      <w:r>
        <w:t>We are 95% confident that US residents</w:t>
      </w:r>
      <w:r w:rsidRPr="00E50B84">
        <w:t xml:space="preserve"> </w:t>
      </w:r>
      <w:r>
        <w:t xml:space="preserve">have </w:t>
      </w:r>
      <w:r w:rsidRPr="00E50B84">
        <w:t>s</w:t>
      </w:r>
      <w:r>
        <w:t xml:space="preserve">tress, depression, problems </w:t>
      </w:r>
      <w:r w:rsidRPr="00E50B84">
        <w:t>with emotions,</w:t>
      </w:r>
      <w:r>
        <w:t xml:space="preserve"> and other not good mental health for 3.40 to 4.24 days during the past 30 days in 2010.</w:t>
      </w:r>
    </w:p>
    <w:p w:rsidR="00BD1239" w:rsidRDefault="00E50B84" w:rsidP="00E50B84">
      <w:r w:rsidRPr="00E50B84">
        <w:t xml:space="preserve">(b) </w:t>
      </w:r>
    </w:p>
    <w:p w:rsidR="00E50B84" w:rsidRPr="00E50B84" w:rsidRDefault="00E50B84" w:rsidP="00E50B84">
      <w:r>
        <w:t>“95% confident” means that the probability of the average number of not good mental health days during the past 30 days in 2010 for all the US residents between 3.40 and 4.24 is 95%.</w:t>
      </w:r>
    </w:p>
    <w:p w:rsidR="00BD1239" w:rsidRDefault="00E50B84" w:rsidP="00E54F01">
      <w:r w:rsidRPr="00E50B84">
        <w:t xml:space="preserve">(c) </w:t>
      </w:r>
    </w:p>
    <w:p w:rsidR="00E54F01" w:rsidRDefault="00E50B84" w:rsidP="00E54F01">
      <w:r w:rsidRPr="00E50B84">
        <w:t xml:space="preserve">The </w:t>
      </w:r>
      <w:r>
        <w:t xml:space="preserve">99% confidence interval will be larger than the 95% confidence interval. </w:t>
      </w:r>
      <w:r w:rsidR="00E54F01">
        <w:t>Since we are more confident for an estimate, its corresponding interval should be wider.</w:t>
      </w:r>
      <w:r w:rsidR="00E54F01" w:rsidRPr="00E54F01">
        <w:t xml:space="preserve"> </w:t>
      </w:r>
      <w:r w:rsidR="00E54F01">
        <w:t>The significance level is smaller for a 99% interval. So the Z score will be larger. The margin of error will also be larger.</w:t>
      </w:r>
    </w:p>
    <w:p w:rsidR="004A7ED8" w:rsidRDefault="00BD1239" w:rsidP="00E50B84">
      <w:r>
        <w:t xml:space="preserve">(d) </w:t>
      </w:r>
    </w:p>
    <w:p w:rsidR="00BD1239" w:rsidRPr="004A7ED8" w:rsidRDefault="00BD1239" w:rsidP="00E50B84">
      <w:r>
        <w:t>The SE will be larger. Because</w:t>
      </w:r>
      <w:r w:rsidRPr="004033C7">
        <w:rPr>
          <w:position w:val="-28"/>
        </w:rPr>
        <w:object w:dxaOrig="940" w:dyaOrig="660">
          <v:shape id="_x0000_i1033" type="#_x0000_t75" style="width:47.05pt;height:33.15pt" o:ole="">
            <v:imagedata r:id="rId22" o:title=""/>
          </v:shape>
          <o:OLEObject Type="Embed" ProgID="Equation.DSMT4" ShapeID="_x0000_i1033" DrawAspect="Content" ObjectID="_1537038860" r:id="rId25"/>
        </w:object>
      </w:r>
      <w:r>
        <w:t xml:space="preserve">, the sample size n decreases, </w:t>
      </w:r>
      <w:r w:rsidR="00C77AD2">
        <w:t xml:space="preserve">and </w:t>
      </w:r>
      <w:r>
        <w:t>the SE will increase.</w:t>
      </w:r>
    </w:p>
    <w:p w:rsidR="00F66ABC" w:rsidRDefault="00F66ABC" w:rsidP="00F66ABC">
      <w:pPr>
        <w:pStyle w:val="Heading1"/>
      </w:pPr>
      <w:r>
        <w:t>4.14</w:t>
      </w:r>
    </w:p>
    <w:p w:rsidR="004B3778" w:rsidRDefault="00171319" w:rsidP="00171319">
      <w:r w:rsidRPr="00171319">
        <w:t xml:space="preserve">(a) </w:t>
      </w:r>
    </w:p>
    <w:p w:rsidR="004B3778" w:rsidRDefault="004B3778" w:rsidP="004B3778">
      <w:r>
        <w:t xml:space="preserve">False. </w:t>
      </w:r>
      <w:r w:rsidRPr="00171319">
        <w:t>Inference is made on the</w:t>
      </w:r>
      <w:r>
        <w:t xml:space="preserve"> </w:t>
      </w:r>
      <w:r w:rsidRPr="00171319">
        <w:t>population parameter, not the point estimate.</w:t>
      </w:r>
      <w:r>
        <w:t xml:space="preserve"> </w:t>
      </w:r>
      <w:r w:rsidRPr="00171319">
        <w:t>The poin</w:t>
      </w:r>
      <w:r>
        <w:t>t estimate is always in the confi</w:t>
      </w:r>
      <w:r w:rsidRPr="00171319">
        <w:t>dence</w:t>
      </w:r>
      <w:r>
        <w:t xml:space="preserve"> </w:t>
      </w:r>
      <w:r w:rsidRPr="00171319">
        <w:t>interval.</w:t>
      </w:r>
    </w:p>
    <w:p w:rsidR="004B3778" w:rsidRDefault="004B3778" w:rsidP="004B3778">
      <w:r>
        <w:t>(b)</w:t>
      </w:r>
    </w:p>
    <w:p w:rsidR="004B3778" w:rsidRDefault="00171319" w:rsidP="004B3778">
      <w:r w:rsidRPr="00171319">
        <w:t>False. Provided the data distribution</w:t>
      </w:r>
      <w:r w:rsidR="004B3778">
        <w:t xml:space="preserve"> </w:t>
      </w:r>
      <w:r w:rsidRPr="00171319">
        <w:t>is not</w:t>
      </w:r>
      <w:r w:rsidR="004B3778">
        <w:t xml:space="preserve"> very strongly skewed, and the sample size of 436 is relatively large enough, the confidence interval is still valid. The Z parameter for a non-normal distribution is greater than that of normal distribution</w:t>
      </w:r>
      <w:r w:rsidR="00961F6C">
        <w:t>. So the confidence interval should be valid.</w:t>
      </w:r>
    </w:p>
    <w:p w:rsidR="008C2EB9" w:rsidRDefault="008C2EB9" w:rsidP="004B3778">
      <w:r>
        <w:t>(</w:t>
      </w:r>
      <w:r w:rsidR="007236BE">
        <w:t>c</w:t>
      </w:r>
      <w:r>
        <w:t>)</w:t>
      </w:r>
    </w:p>
    <w:p w:rsidR="008C2EB9" w:rsidRDefault="007236BE" w:rsidP="008C2EB9">
      <w:r>
        <w:t>False</w:t>
      </w:r>
      <w:r w:rsidR="008B7FC8">
        <w:t>.</w:t>
      </w:r>
      <w:r w:rsidR="008C2EB9">
        <w:t xml:space="preserve"> </w:t>
      </w:r>
      <w:bookmarkStart w:id="2" w:name="OLE_LINK3"/>
      <w:bookmarkStart w:id="3" w:name="OLE_LINK4"/>
      <w:r w:rsidR="008C2EB9">
        <w:t>The confi</w:t>
      </w:r>
      <w:r w:rsidR="008C2EB9" w:rsidRPr="00171319">
        <w:t>dence</w:t>
      </w:r>
      <w:r w:rsidR="008C2EB9">
        <w:t xml:space="preserve"> </w:t>
      </w:r>
      <w:r w:rsidR="008C2EB9" w:rsidRPr="00171319">
        <w:t>interval is not about a sample mean.</w:t>
      </w:r>
      <w:r w:rsidR="008C2EB9">
        <w:t xml:space="preserve"> It is for an inference of the population.</w:t>
      </w:r>
      <w:bookmarkEnd w:id="2"/>
      <w:bookmarkEnd w:id="3"/>
    </w:p>
    <w:p w:rsidR="007236BE" w:rsidRDefault="007236BE" w:rsidP="008C2EB9">
      <w:r>
        <w:t>(d)</w:t>
      </w:r>
    </w:p>
    <w:p w:rsidR="007236BE" w:rsidRPr="00171319" w:rsidRDefault="007236BE" w:rsidP="008C2EB9">
      <w:r>
        <w:t xml:space="preserve">True. </w:t>
      </w:r>
      <w:r>
        <w:t>The confi</w:t>
      </w:r>
      <w:r w:rsidRPr="00171319">
        <w:t>dence</w:t>
      </w:r>
      <w:r>
        <w:t xml:space="preserve"> </w:t>
      </w:r>
      <w:r w:rsidRPr="00171319">
        <w:t xml:space="preserve">interval </w:t>
      </w:r>
      <w:r>
        <w:t xml:space="preserve">is for an inference of the </w:t>
      </w:r>
      <w:r w:rsidR="0051748D">
        <w:t xml:space="preserve">whole </w:t>
      </w:r>
      <w:r>
        <w:t>population.</w:t>
      </w:r>
    </w:p>
    <w:p w:rsidR="00F83179" w:rsidRDefault="008C351C" w:rsidP="008C2EB9">
      <w:r>
        <w:t>(e</w:t>
      </w:r>
      <w:r w:rsidR="00171319" w:rsidRPr="00171319">
        <w:t xml:space="preserve">) </w:t>
      </w:r>
    </w:p>
    <w:p w:rsidR="008C2EB9" w:rsidRPr="00171319" w:rsidRDefault="00171319" w:rsidP="008C2EB9">
      <w:r w:rsidRPr="00171319">
        <w:t xml:space="preserve">True. </w:t>
      </w:r>
      <w:r w:rsidR="00175ACA">
        <w:t>The 90% confidence interval will have a smaller Z* when computing the margin of error.</w:t>
      </w:r>
      <w:r w:rsidR="00F83179">
        <w:t xml:space="preserve"> So the 90% confidence interval will be narrower than that of 95%.</w:t>
      </w:r>
    </w:p>
    <w:p w:rsidR="00F83179" w:rsidRDefault="00F83179" w:rsidP="00171319">
      <w:r>
        <w:t>(f</w:t>
      </w:r>
      <w:r w:rsidR="00171319" w:rsidRPr="00171319">
        <w:t xml:space="preserve">) </w:t>
      </w:r>
    </w:p>
    <w:p w:rsidR="00171319" w:rsidRPr="008402A1" w:rsidRDefault="00171319" w:rsidP="00171319">
      <w:r w:rsidRPr="00171319">
        <w:t>False.</w:t>
      </w:r>
      <w:r w:rsidR="00F83179">
        <w:t xml:space="preserve"> In the calculation of margin of error, the formula is </w:t>
      </w:r>
      <w:bookmarkStart w:id="4" w:name="OLE_LINK5"/>
      <w:bookmarkStart w:id="5" w:name="OLE_LINK6"/>
      <w:r w:rsidR="00E35D2E" w:rsidRPr="004033C7">
        <w:rPr>
          <w:position w:val="-28"/>
        </w:rPr>
        <w:object w:dxaOrig="1820" w:dyaOrig="660">
          <v:shape id="_x0000_i1036" type="#_x0000_t75" style="width:91.25pt;height:33.15pt" o:ole="">
            <v:imagedata r:id="rId26" o:title=""/>
          </v:shape>
          <o:OLEObject Type="Embed" ProgID="Equation.DSMT4" ShapeID="_x0000_i1036" DrawAspect="Content" ObjectID="_1537038861" r:id="rId27"/>
        </w:object>
      </w:r>
      <w:bookmarkEnd w:id="4"/>
      <w:bookmarkEnd w:id="5"/>
      <w:r w:rsidR="008402A1">
        <w:t>. The Z remains the same for a 95% confidence interval. In order to get a third of the original margin of error, we would need to use a sample 3</w:t>
      </w:r>
      <w:r w:rsidR="008402A1">
        <w:rPr>
          <w:vertAlign w:val="superscript"/>
        </w:rPr>
        <w:t xml:space="preserve">2 </w:t>
      </w:r>
      <w:r w:rsidR="008402A1">
        <w:t>= 9 times of the initial one.</w:t>
      </w:r>
    </w:p>
    <w:p w:rsidR="00781EBD" w:rsidRDefault="00781EBD" w:rsidP="00171319">
      <w:r>
        <w:t>(g</w:t>
      </w:r>
      <w:r w:rsidR="00171319" w:rsidRPr="00171319">
        <w:t xml:space="preserve">) </w:t>
      </w:r>
    </w:p>
    <w:p w:rsidR="00171319" w:rsidRPr="00171319" w:rsidRDefault="00171319" w:rsidP="00171319">
      <w:r w:rsidRPr="00171319">
        <w:t xml:space="preserve">True. </w:t>
      </w:r>
      <w:r w:rsidR="00781EBD">
        <w:t>The mar</w:t>
      </w:r>
      <w:r w:rsidRPr="00171319">
        <w:t>gin of error is half the width of the interval</w:t>
      </w:r>
      <w:r w:rsidR="002F39CD">
        <w:t>.</w:t>
      </w:r>
    </w:p>
    <w:p w:rsidR="00F66ABC" w:rsidRDefault="00F66ABC" w:rsidP="00F66ABC">
      <w:pPr>
        <w:pStyle w:val="Heading1"/>
      </w:pPr>
      <w:r>
        <w:lastRenderedPageBreak/>
        <w:t>4.16</w:t>
      </w:r>
    </w:p>
    <w:p w:rsidR="004A7ED8" w:rsidRDefault="008413BC" w:rsidP="008413BC">
      <w:r w:rsidRPr="008413BC">
        <w:t>Independence: sample from &lt; 10% of</w:t>
      </w:r>
      <w:r>
        <w:t xml:space="preserve"> </w:t>
      </w:r>
      <w:r w:rsidRPr="008413BC">
        <w:t>population, and it is a random sample. We can</w:t>
      </w:r>
      <w:r>
        <w:t xml:space="preserve"> </w:t>
      </w:r>
      <w:r w:rsidRPr="008413BC">
        <w:t>assume that the</w:t>
      </w:r>
      <w:r>
        <w:t xml:space="preserve"> women in this sample are in</w:t>
      </w:r>
      <w:r w:rsidRPr="008413BC">
        <w:t>dependent of</w:t>
      </w:r>
      <w:r>
        <w:t xml:space="preserve"> each other with respect to num</w:t>
      </w:r>
      <w:r w:rsidRPr="008413BC">
        <w:t>ber of exclusive relationships they have been in.</w:t>
      </w:r>
      <w:r>
        <w:t xml:space="preserve"> The sample size is much more than</w:t>
      </w:r>
      <w:r w:rsidRPr="008413BC">
        <w:t xml:space="preserve"> 30. The </w:t>
      </w:r>
      <w:r>
        <w:t xml:space="preserve">right </w:t>
      </w:r>
      <w:r w:rsidRPr="008413BC">
        <w:t>skew is</w:t>
      </w:r>
      <w:r>
        <w:t xml:space="preserve"> slight, and</w:t>
      </w:r>
      <w:r w:rsidRPr="008413BC">
        <w:t xml:space="preserve"> the</w:t>
      </w:r>
      <w:r>
        <w:t xml:space="preserve"> sample is very large so we can definitely make an inference of the population</w:t>
      </w:r>
      <w:r w:rsidRPr="008413BC">
        <w:t xml:space="preserve">. </w:t>
      </w:r>
      <w:r>
        <w:t>For a 95</w:t>
      </w:r>
      <w:r w:rsidRPr="008413BC">
        <w:t>%</w:t>
      </w:r>
      <w:r>
        <w:t xml:space="preserve"> confidence interval, the margin of error is </w:t>
      </w:r>
      <w:bookmarkStart w:id="6" w:name="OLE_LINK7"/>
      <w:bookmarkStart w:id="7" w:name="OLE_LINK8"/>
      <w:r w:rsidR="007422C3" w:rsidRPr="004033C7">
        <w:rPr>
          <w:position w:val="-28"/>
        </w:rPr>
        <w:object w:dxaOrig="3440" w:dyaOrig="660">
          <v:shape id="_x0000_i1043" type="#_x0000_t75" style="width:172.15pt;height:33.15pt" o:ole="">
            <v:imagedata r:id="rId28" o:title=""/>
          </v:shape>
          <o:OLEObject Type="Embed" ProgID="Equation.DSMT4" ShapeID="_x0000_i1043" DrawAspect="Content" ObjectID="_1537038862" r:id="rId29"/>
        </w:object>
      </w:r>
      <w:bookmarkEnd w:id="6"/>
      <w:bookmarkEnd w:id="7"/>
      <w:r w:rsidR="007422C3">
        <w:t xml:space="preserve">. So the interval is (23.31, 23.57). </w:t>
      </w:r>
      <w:r w:rsidRPr="008413BC">
        <w:t>We are</w:t>
      </w:r>
      <w:r>
        <w:t xml:space="preserve"> </w:t>
      </w:r>
      <w:r w:rsidR="007422C3">
        <w:t>95</w:t>
      </w:r>
      <w:r>
        <w:t>% confi</w:t>
      </w:r>
      <w:r w:rsidRPr="008413BC">
        <w:t xml:space="preserve">dent that </w:t>
      </w:r>
      <w:r w:rsidR="007422C3">
        <w:t>the average age at fi</w:t>
      </w:r>
      <w:r w:rsidR="007422C3" w:rsidRPr="007422C3">
        <w:t>rst marriage of</w:t>
      </w:r>
      <w:r w:rsidR="007422C3">
        <w:t xml:space="preserve"> women in US is between 23.31 and 23.57.</w:t>
      </w:r>
    </w:p>
    <w:p w:rsidR="002239AB" w:rsidRPr="004A7ED8" w:rsidRDefault="002239AB" w:rsidP="008413BC"/>
    <w:p w:rsidR="00F66ABC" w:rsidRDefault="00F66ABC" w:rsidP="00F66ABC">
      <w:pPr>
        <w:pStyle w:val="Heading1"/>
      </w:pPr>
      <w:r>
        <w:t>4.18</w:t>
      </w:r>
    </w:p>
    <w:p w:rsidR="008B37A7" w:rsidRDefault="008B37A7" w:rsidP="008B37A7">
      <w:r w:rsidRPr="008B37A7">
        <w:t xml:space="preserve">(a) </w:t>
      </w:r>
    </w:p>
    <w:p w:rsidR="008B37A7" w:rsidRPr="008B37A7" w:rsidRDefault="00CF1B0F" w:rsidP="00CF1B0F">
      <w:r w:rsidRPr="00CF1B0F">
        <w:rPr>
          <w:position w:val="-12"/>
        </w:rPr>
        <w:object w:dxaOrig="1359" w:dyaOrig="360">
          <v:shape id="_x0000_i1056" type="#_x0000_t75" style="width:68.1pt;height:18.2pt" o:ole="">
            <v:imagedata r:id="rId30" o:title=""/>
          </v:shape>
          <o:OLEObject Type="Embed" ProgID="Equation.DSMT4" ShapeID="_x0000_i1056" DrawAspect="Content" ObjectID="_1537038863" r:id="rId31"/>
        </w:object>
      </w:r>
      <w:r w:rsidR="008B37A7" w:rsidRPr="008B37A7">
        <w:t xml:space="preserve"> (</w:t>
      </w:r>
      <w:r>
        <w:t xml:space="preserve">The </w:t>
      </w:r>
      <w:r w:rsidRPr="00CF1B0F">
        <w:t>average calorie intake of a diners</w:t>
      </w:r>
      <w:r>
        <w:t xml:space="preserve"> a</w:t>
      </w:r>
      <w:r w:rsidR="00C965D7">
        <w:t>t this restaurant remains to be 1100 calories</w:t>
      </w:r>
      <w:r w:rsidR="008B37A7" w:rsidRPr="008B37A7">
        <w:t>.)</w:t>
      </w:r>
    </w:p>
    <w:bookmarkStart w:id="8" w:name="OLE_LINK9"/>
    <w:bookmarkStart w:id="9" w:name="OLE_LINK10"/>
    <w:p w:rsidR="008B37A7" w:rsidRPr="008B37A7" w:rsidRDefault="00C965D7" w:rsidP="008B37A7">
      <w:r w:rsidRPr="00CF1B0F">
        <w:rPr>
          <w:position w:val="-12"/>
        </w:rPr>
        <w:object w:dxaOrig="1400" w:dyaOrig="360">
          <v:shape id="_x0000_i1060" type="#_x0000_t75" style="width:70.2pt;height:18.2pt" o:ole="">
            <v:imagedata r:id="rId32" o:title=""/>
          </v:shape>
          <o:OLEObject Type="Embed" ProgID="Equation.DSMT4" ShapeID="_x0000_i1060" DrawAspect="Content" ObjectID="_1537038864" r:id="rId33"/>
        </w:object>
      </w:r>
      <w:bookmarkEnd w:id="8"/>
      <w:bookmarkEnd w:id="9"/>
      <w:r w:rsidRPr="008B37A7">
        <w:t xml:space="preserve"> </w:t>
      </w:r>
      <w:r>
        <w:t>(</w:t>
      </w:r>
      <w:r>
        <w:t xml:space="preserve">The </w:t>
      </w:r>
      <w:r w:rsidRPr="00CF1B0F">
        <w:t>average calorie intake of a diners</w:t>
      </w:r>
      <w:r>
        <w:t xml:space="preserve"> at this restaurant </w:t>
      </w:r>
      <w:r>
        <w:t>is different from</w:t>
      </w:r>
      <w:r>
        <w:t xml:space="preserve"> 1100 calories</w:t>
      </w:r>
      <w:r w:rsidRPr="008B37A7">
        <w:t>.</w:t>
      </w:r>
      <w:r w:rsidR="008B37A7" w:rsidRPr="008B37A7">
        <w:t>)</w:t>
      </w:r>
    </w:p>
    <w:p w:rsidR="00AD6CD9" w:rsidRDefault="008B37A7" w:rsidP="008B37A7">
      <w:r w:rsidRPr="008B37A7">
        <w:t xml:space="preserve">(b) </w:t>
      </w:r>
    </w:p>
    <w:p w:rsidR="008B37A7" w:rsidRPr="008B37A7" w:rsidRDefault="00885C74" w:rsidP="008B37A7">
      <w:r w:rsidRPr="00CF1B0F">
        <w:rPr>
          <w:position w:val="-12"/>
        </w:rPr>
        <w:object w:dxaOrig="1260" w:dyaOrig="360">
          <v:shape id="_x0000_i1075" type="#_x0000_t75" style="width:63.1pt;height:18.2pt" o:ole="">
            <v:imagedata r:id="rId34" o:title=""/>
          </v:shape>
          <o:OLEObject Type="Embed" ProgID="Equation.DSMT4" ShapeID="_x0000_i1075" DrawAspect="Content" ObjectID="_1537038865" r:id="rId35"/>
        </w:object>
      </w:r>
      <w:r w:rsidR="00AD6CD9">
        <w:t xml:space="preserve"> </w:t>
      </w:r>
      <w:r w:rsidR="008B37A7">
        <w:t>(</w:t>
      </w:r>
      <w:r w:rsidR="00C9572F">
        <w:t xml:space="preserve">The average </w:t>
      </w:r>
      <w:r w:rsidR="00C9572F" w:rsidRPr="00885C74">
        <w:t>GRE Verbal Reasoning score has</w:t>
      </w:r>
      <w:r w:rsidR="00C9572F">
        <w:t xml:space="preserve"> not</w:t>
      </w:r>
      <w:r w:rsidR="00C9572F" w:rsidRPr="00885C74">
        <w:t xml:space="preserve"> changed since 2004</w:t>
      </w:r>
      <w:r w:rsidR="00C9572F">
        <w:t>. It remains to be 462.)</w:t>
      </w:r>
    </w:p>
    <w:bookmarkStart w:id="10" w:name="OLE_LINK12"/>
    <w:bookmarkStart w:id="11" w:name="OLE_LINK13"/>
    <w:p w:rsidR="00805E24" w:rsidRDefault="00885C74" w:rsidP="00885C74">
      <w:r w:rsidRPr="00CF1B0F">
        <w:rPr>
          <w:position w:val="-12"/>
        </w:rPr>
        <w:object w:dxaOrig="1300" w:dyaOrig="360">
          <v:shape id="_x0000_i1071" type="#_x0000_t75" style="width:65.25pt;height:18.2pt" o:ole="">
            <v:imagedata r:id="rId36" o:title=""/>
          </v:shape>
          <o:OLEObject Type="Embed" ProgID="Equation.DSMT4" ShapeID="_x0000_i1071" DrawAspect="Content" ObjectID="_1537038866" r:id="rId37"/>
        </w:object>
      </w:r>
      <w:bookmarkEnd w:id="10"/>
      <w:bookmarkEnd w:id="11"/>
      <w:r w:rsidR="00AD6CD9">
        <w:t xml:space="preserve"> </w:t>
      </w:r>
      <w:r w:rsidR="008B37A7">
        <w:t>(</w:t>
      </w:r>
      <w:bookmarkStart w:id="12" w:name="OLE_LINK11"/>
      <w:r>
        <w:t xml:space="preserve">The average </w:t>
      </w:r>
      <w:r w:rsidRPr="00885C74">
        <w:t>GRE Verbal Reasoning score has changed since 2004</w:t>
      </w:r>
      <w:r w:rsidR="008B37A7" w:rsidRPr="008B37A7">
        <w:t>.</w:t>
      </w:r>
      <w:bookmarkEnd w:id="12"/>
      <w:r w:rsidR="008B37A7" w:rsidRPr="008B37A7">
        <w:t>)</w:t>
      </w:r>
    </w:p>
    <w:p w:rsidR="002239AB" w:rsidRPr="00805E24" w:rsidRDefault="002239AB" w:rsidP="00885C74"/>
    <w:p w:rsidR="00F66ABC" w:rsidRDefault="00F66ABC" w:rsidP="00F66ABC">
      <w:pPr>
        <w:pStyle w:val="Heading1"/>
      </w:pPr>
      <w:r>
        <w:t>4.20</w:t>
      </w:r>
    </w:p>
    <w:p w:rsidR="00942539" w:rsidRDefault="00942539" w:rsidP="00942539">
      <w:r w:rsidRPr="00942539">
        <w:t>The hyp</w:t>
      </w:r>
      <w:r>
        <w:t>otheses should be about the pop</w:t>
      </w:r>
      <w:r w:rsidRPr="00942539">
        <w:t>ulation mean (</w:t>
      </w:r>
      <w:r w:rsidRPr="00942539">
        <w:rPr>
          <w:position w:val="-10"/>
        </w:rPr>
        <w:object w:dxaOrig="240" w:dyaOrig="260">
          <v:shape id="_x0000_i1078" type="#_x0000_t75" style="width:12.1pt;height:13.2pt" o:ole="">
            <v:imagedata r:id="rId38" o:title=""/>
          </v:shape>
          <o:OLEObject Type="Embed" ProgID="Equation.DSMT4" ShapeID="_x0000_i1078" DrawAspect="Content" ObjectID="_1537038867" r:id="rId39"/>
        </w:object>
      </w:r>
      <w:r w:rsidRPr="00942539">
        <w:t>), not the sample mean</w:t>
      </w:r>
      <w:r>
        <w:t xml:space="preserve"> (</w:t>
      </w:r>
      <w:r w:rsidRPr="00942539">
        <w:rPr>
          <w:position w:val="-6"/>
        </w:rPr>
        <w:object w:dxaOrig="220" w:dyaOrig="260">
          <v:shape id="_x0000_i1081" type="#_x0000_t75" style="width:11.05pt;height:13.2pt" o:ole="">
            <v:imagedata r:id="rId40" o:title=""/>
          </v:shape>
          <o:OLEObject Type="Embed" ProgID="Equation.DSMT4" ShapeID="_x0000_i1081" DrawAspect="Content" ObjectID="_1537038868" r:id="rId41"/>
        </w:object>
      </w:r>
      <w:r>
        <w:t>)</w:t>
      </w:r>
      <w:r w:rsidRPr="00942539">
        <w:t>. The</w:t>
      </w:r>
      <w:r>
        <w:t xml:space="preserve"> alternative hypothesis implies that it is a one-sided test. However, the social scientist is interested in both increase and decrease of the age. So the test should be two-sided. </w:t>
      </w:r>
      <w:r w:rsidRPr="00942539">
        <w:t>Correction:</w:t>
      </w:r>
    </w:p>
    <w:p w:rsidR="00942539" w:rsidRDefault="00942539" w:rsidP="00942539">
      <w:r w:rsidRPr="00CF1B0F">
        <w:rPr>
          <w:position w:val="-12"/>
        </w:rPr>
        <w:object w:dxaOrig="1440" w:dyaOrig="360">
          <v:shape id="_x0000_i1084" type="#_x0000_t75" style="width:1in;height:18.2pt" o:ole="">
            <v:imagedata r:id="rId42" o:title=""/>
          </v:shape>
          <o:OLEObject Type="Embed" ProgID="Equation.DSMT4" ShapeID="_x0000_i1084" DrawAspect="Content" ObjectID="_1537038869" r:id="rId43"/>
        </w:object>
      </w:r>
      <w:r>
        <w:t>years old</w:t>
      </w:r>
    </w:p>
    <w:bookmarkStart w:id="13" w:name="OLE_LINK14"/>
    <w:bookmarkStart w:id="14" w:name="OLE_LINK15"/>
    <w:p w:rsidR="00942539" w:rsidRDefault="00942539" w:rsidP="00942539">
      <w:r w:rsidRPr="00CF1B0F">
        <w:rPr>
          <w:position w:val="-12"/>
        </w:rPr>
        <w:object w:dxaOrig="1480" w:dyaOrig="360">
          <v:shape id="_x0000_i1087" type="#_x0000_t75" style="width:74.15pt;height:18.2pt" o:ole="">
            <v:imagedata r:id="rId44" o:title=""/>
          </v:shape>
          <o:OLEObject Type="Embed" ProgID="Equation.DSMT4" ShapeID="_x0000_i1087" DrawAspect="Content" ObjectID="_1537038870" r:id="rId45"/>
        </w:object>
      </w:r>
      <w:bookmarkEnd w:id="13"/>
      <w:bookmarkEnd w:id="14"/>
      <w:r>
        <w:t>years old</w:t>
      </w:r>
    </w:p>
    <w:p w:rsidR="002239AB" w:rsidRPr="00942539" w:rsidRDefault="002239AB" w:rsidP="00942539"/>
    <w:p w:rsidR="00F66ABC" w:rsidRDefault="00F66ABC" w:rsidP="00F66ABC">
      <w:pPr>
        <w:pStyle w:val="Heading1"/>
      </w:pPr>
      <w:r>
        <w:t>4.22</w:t>
      </w:r>
    </w:p>
    <w:p w:rsidR="00805E24" w:rsidRDefault="00174207" w:rsidP="00805E24">
      <w:r>
        <w:t>(a)</w:t>
      </w:r>
    </w:p>
    <w:p w:rsidR="00174207" w:rsidRDefault="00A51AB0" w:rsidP="00805E24">
      <w:r>
        <w:t>Her claim is not well supported. Because $100 is not in the confidence interval. The claim could be wrong.</w:t>
      </w:r>
    </w:p>
    <w:p w:rsidR="00174207" w:rsidRDefault="00174207" w:rsidP="00805E24">
      <w:r>
        <w:t>(b)</w:t>
      </w:r>
    </w:p>
    <w:p w:rsidR="00A51AB0" w:rsidRDefault="00A51AB0" w:rsidP="00805E24">
      <w:r>
        <w:t>A 90% confidence interval will be narrower than the 95% confidence interval. So $100 will be further away from the 90% confidence interval. Her claim will be unreasonable based on the 90% CI.</w:t>
      </w:r>
    </w:p>
    <w:p w:rsidR="002239AB" w:rsidRDefault="002239AB" w:rsidP="00805E24"/>
    <w:p w:rsidR="002239AB" w:rsidRPr="00805E24" w:rsidRDefault="002239AB" w:rsidP="00805E24"/>
    <w:p w:rsidR="00F66ABC" w:rsidRDefault="00F66ABC" w:rsidP="00F66ABC">
      <w:pPr>
        <w:pStyle w:val="Heading1"/>
      </w:pPr>
      <w:r>
        <w:lastRenderedPageBreak/>
        <w:t>4.36</w:t>
      </w:r>
    </w:p>
    <w:p w:rsidR="00976846" w:rsidRDefault="00976846" w:rsidP="00976846">
      <w:r w:rsidRPr="00976846">
        <w:t xml:space="preserve">(a) </w:t>
      </w:r>
    </w:p>
    <w:p w:rsidR="00976846" w:rsidRDefault="00976846" w:rsidP="00976846">
      <w:r>
        <w:t>Left</w:t>
      </w:r>
      <w:r w:rsidRPr="00976846">
        <w:t xml:space="preserve"> skewed. There is a long tail on</w:t>
      </w:r>
      <w:r>
        <w:t xml:space="preserve"> the lower</w:t>
      </w:r>
      <w:r w:rsidRPr="00976846">
        <w:t xml:space="preserve"> end of the distribution but a much</w:t>
      </w:r>
      <w:r>
        <w:t xml:space="preserve"> shorter tail on the higher </w:t>
      </w:r>
      <w:r w:rsidRPr="00976846">
        <w:t xml:space="preserve">end. </w:t>
      </w:r>
    </w:p>
    <w:p w:rsidR="00976846" w:rsidRDefault="00976846" w:rsidP="00976846">
      <w:r w:rsidRPr="00976846">
        <w:t xml:space="preserve">(b) </w:t>
      </w:r>
    </w:p>
    <w:p w:rsidR="00976846" w:rsidRDefault="00976846" w:rsidP="00976846">
      <w:r>
        <w:t>I expect most students to have scored above 70 points</w:t>
      </w:r>
      <w:r w:rsidRPr="00976846">
        <w:t>,</w:t>
      </w:r>
      <w:r>
        <w:t xml:space="preserve"> as the median is greater</w:t>
      </w:r>
      <w:r w:rsidRPr="00976846">
        <w:t xml:space="preserve"> than the mean</w:t>
      </w:r>
      <w:r>
        <w:t xml:space="preserve"> in this left</w:t>
      </w:r>
      <w:r w:rsidRPr="00976846">
        <w:t xml:space="preserve"> skewed distribution. </w:t>
      </w:r>
    </w:p>
    <w:p w:rsidR="00976846" w:rsidRDefault="00976846" w:rsidP="00976846">
      <w:r w:rsidRPr="00976846">
        <w:t xml:space="preserve">(c) </w:t>
      </w:r>
    </w:p>
    <w:p w:rsidR="00976846" w:rsidRDefault="00976846" w:rsidP="00976846">
      <w:r w:rsidRPr="00976846">
        <w:t>We should</w:t>
      </w:r>
      <w:r>
        <w:t xml:space="preserve"> </w:t>
      </w:r>
      <w:r w:rsidR="00AC2245">
        <w:t>not,</w:t>
      </w:r>
      <w:r w:rsidRPr="00976846">
        <w:t xml:space="preserve"> </w:t>
      </w:r>
      <w:r w:rsidR="00AC2245">
        <w:t>s</w:t>
      </w:r>
      <w:r>
        <w:t>ince it is not a symmetric normal distribution.</w:t>
      </w:r>
    </w:p>
    <w:p w:rsidR="00976846" w:rsidRDefault="00976846" w:rsidP="00976846">
      <w:r w:rsidRPr="00976846">
        <w:t xml:space="preserve">(d) </w:t>
      </w:r>
    </w:p>
    <w:p w:rsidR="00976846" w:rsidRDefault="00976846" w:rsidP="00976846">
      <w:r w:rsidRPr="00976846">
        <w:t>Even</w:t>
      </w:r>
      <w:r>
        <w:t xml:space="preserve"> though the population distribu</w:t>
      </w:r>
      <w:r w:rsidRPr="00976846">
        <w:t>tion is not normal, the conditions for inference</w:t>
      </w:r>
      <w:r>
        <w:t xml:space="preserve"> </w:t>
      </w:r>
      <w:r w:rsidRPr="00976846">
        <w:t>are reasonably</w:t>
      </w:r>
      <w:r w:rsidR="00AC2245">
        <w:t xml:space="preserve"> satisfi</w:t>
      </w:r>
      <w:r>
        <w:t>ed, with the possible ex</w:t>
      </w:r>
      <w:r w:rsidRPr="00976846">
        <w:t>ception of skew. If the skew isn't very strong</w:t>
      </w:r>
      <w:r>
        <w:t xml:space="preserve"> </w:t>
      </w:r>
      <w:r w:rsidRPr="00976846">
        <w:t>(we should a</w:t>
      </w:r>
      <w:r>
        <w:t xml:space="preserve">sk to see the data), then we can </w:t>
      </w:r>
      <w:r w:rsidRPr="00976846">
        <w:t>use the Centra</w:t>
      </w:r>
      <w:r>
        <w:t xml:space="preserve">l Limit Theorem to estimate this </w:t>
      </w:r>
      <w:r w:rsidR="00AC2245">
        <w:t>probability. For now, we wi</w:t>
      </w:r>
      <w:r w:rsidRPr="00976846">
        <w:t>ll assume the skew</w:t>
      </w:r>
      <w:r>
        <w:t xml:space="preserve"> </w:t>
      </w:r>
      <w:r w:rsidR="00AC2245">
        <w:t>isn’</w:t>
      </w:r>
      <w:r w:rsidRPr="00976846">
        <w:t>t very str</w:t>
      </w:r>
      <w:r w:rsidR="00AC2245">
        <w:t>ong</w:t>
      </w:r>
      <w:r w:rsidRPr="00976846">
        <w:t xml:space="preserve">. </w:t>
      </w:r>
      <w:r w:rsidR="00AC2245">
        <w:t xml:space="preserve">The sample size is also greater than 30. So we can use normal distribution to describe the sample mean. </w:t>
      </w:r>
      <w:r w:rsidR="00617389">
        <w:t>Use</w:t>
      </w:r>
      <w:r w:rsidR="000C6D89" w:rsidRPr="000C6D89">
        <w:rPr>
          <w:position w:val="-28"/>
        </w:rPr>
        <w:object w:dxaOrig="1219" w:dyaOrig="660">
          <v:shape id="_x0000_i1090" type="#_x0000_t75" style="width:60.95pt;height:33.15pt" o:ole="">
            <v:imagedata r:id="rId46" o:title=""/>
          </v:shape>
          <o:OLEObject Type="Embed" ProgID="Equation.DSMT4" ShapeID="_x0000_i1090" DrawAspect="Content" ObjectID="_1537038871" r:id="rId47"/>
        </w:object>
      </w:r>
      <w:r w:rsidRPr="00976846">
        <w:t xml:space="preserve">: </w:t>
      </w:r>
      <w:bookmarkStart w:id="15" w:name="OLE_LINK18"/>
      <w:bookmarkStart w:id="16" w:name="OLE_LINK19"/>
      <w:r w:rsidR="00617389" w:rsidRPr="00617389">
        <w:rPr>
          <w:position w:val="-10"/>
        </w:rPr>
        <w:object w:dxaOrig="2060" w:dyaOrig="320">
          <v:shape id="_x0000_i1093" type="#_x0000_t75" style="width:103pt;height:16.05pt" o:ole="">
            <v:imagedata r:id="rId48" o:title=""/>
          </v:shape>
          <o:OLEObject Type="Embed" ProgID="Equation.DSMT4" ShapeID="_x0000_i1093" DrawAspect="Content" ObjectID="_1537038872" r:id="rId49"/>
        </w:object>
      </w:r>
      <w:bookmarkEnd w:id="15"/>
      <w:bookmarkEnd w:id="16"/>
    </w:p>
    <w:p w:rsidR="00523702" w:rsidRDefault="00523702" w:rsidP="00523702">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75, mean = 70,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10/</w:t>
      </w:r>
      <w:proofErr w:type="spellStart"/>
      <w:r>
        <w:rPr>
          <w:rStyle w:val="gcwxi2kcpjb"/>
          <w:rFonts w:ascii="Lucida Console" w:hAnsi="Lucida Console"/>
          <w:color w:val="0000FF"/>
        </w:rPr>
        <w:t>sqrt</w:t>
      </w:r>
      <w:proofErr w:type="spellEnd"/>
      <w:r>
        <w:rPr>
          <w:rStyle w:val="gcwxi2kcpjb"/>
          <w:rFonts w:ascii="Lucida Console" w:hAnsi="Lucida Console"/>
          <w:color w:val="0000FF"/>
        </w:rPr>
        <w:t xml:space="preserve">(40), </w:t>
      </w:r>
      <w:proofErr w:type="spellStart"/>
      <w:r>
        <w:rPr>
          <w:rStyle w:val="gcwxi2kcpjb"/>
          <w:rFonts w:ascii="Lucida Console" w:hAnsi="Lucida Console"/>
          <w:color w:val="0000FF"/>
        </w:rPr>
        <w:t>lower.tail</w:t>
      </w:r>
      <w:proofErr w:type="spellEnd"/>
      <w:r>
        <w:rPr>
          <w:rStyle w:val="gcwxi2kcpjb"/>
          <w:rFonts w:ascii="Lucida Console" w:hAnsi="Lucida Console"/>
          <w:color w:val="0000FF"/>
        </w:rPr>
        <w:t xml:space="preserve"> = FALSE)</w:t>
      </w:r>
    </w:p>
    <w:p w:rsidR="00523702" w:rsidRDefault="00523702" w:rsidP="0052370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0.0007827011</w:t>
      </w:r>
    </w:p>
    <w:p w:rsidR="00523702" w:rsidRPr="00976846" w:rsidRDefault="00523702" w:rsidP="00976846"/>
    <w:p w:rsidR="00976846" w:rsidRDefault="00976846" w:rsidP="00976846">
      <w:r w:rsidRPr="00976846">
        <w:t xml:space="preserve">(e) </w:t>
      </w:r>
    </w:p>
    <w:p w:rsidR="00976846" w:rsidRDefault="00617389" w:rsidP="00976846">
      <w:r>
        <w:t>Standard deviation of the mean is</w:t>
      </w:r>
      <w:bookmarkStart w:id="17" w:name="OLE_LINK16"/>
      <w:bookmarkStart w:id="18" w:name="OLE_LINK17"/>
      <w:bookmarkStart w:id="19" w:name="OLE_LINK24"/>
      <w:r w:rsidRPr="004033C7">
        <w:rPr>
          <w:position w:val="-28"/>
        </w:rPr>
        <w:object w:dxaOrig="420" w:dyaOrig="660">
          <v:shape id="_x0000_i1096" type="#_x0000_t75" style="width:21.05pt;height:33.15pt" o:ole="">
            <v:imagedata r:id="rId50" o:title=""/>
          </v:shape>
          <o:OLEObject Type="Embed" ProgID="Equation.DSMT4" ShapeID="_x0000_i1096" DrawAspect="Content" ObjectID="_1537038873" r:id="rId51"/>
        </w:object>
      </w:r>
      <w:bookmarkEnd w:id="17"/>
      <w:bookmarkEnd w:id="18"/>
      <w:bookmarkEnd w:id="19"/>
      <w:r>
        <w:t>. It would in</w:t>
      </w:r>
      <w:r w:rsidR="00976846" w:rsidRPr="00976846">
        <w:t xml:space="preserve">crease </w:t>
      </w:r>
      <w:r>
        <w:t>to</w:t>
      </w:r>
      <w:r w:rsidRPr="00617389">
        <w:rPr>
          <w:position w:val="-6"/>
        </w:rPr>
        <w:object w:dxaOrig="380" w:dyaOrig="340">
          <v:shape id="_x0000_i1099" type="#_x0000_t75" style="width:18.9pt;height:17.1pt" o:ole="">
            <v:imagedata r:id="rId52" o:title=""/>
          </v:shape>
          <o:OLEObject Type="Embed" ProgID="Equation.DSMT4" ShapeID="_x0000_i1099" DrawAspect="Content" ObjectID="_1537038874" r:id="rId53"/>
        </w:object>
      </w:r>
      <w:r>
        <w:t>of the initial one.</w:t>
      </w:r>
    </w:p>
    <w:p w:rsidR="002239AB" w:rsidRPr="00976846" w:rsidRDefault="002239AB" w:rsidP="00976846"/>
    <w:p w:rsidR="00F66ABC" w:rsidRDefault="00F66ABC" w:rsidP="00F66ABC">
      <w:pPr>
        <w:pStyle w:val="Heading1"/>
      </w:pPr>
      <w:r>
        <w:t>4.40</w:t>
      </w:r>
    </w:p>
    <w:p w:rsidR="00805E24" w:rsidRDefault="00436FC3" w:rsidP="00805E24">
      <w:r>
        <w:t>(a)</w:t>
      </w:r>
    </w:p>
    <w:p w:rsidR="00436FC3" w:rsidRDefault="00436FC3" w:rsidP="00436FC3">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10500, mean = 9000,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1000, </w:t>
      </w:r>
      <w:proofErr w:type="spellStart"/>
      <w:r>
        <w:rPr>
          <w:rStyle w:val="gcwxi2kcpjb"/>
          <w:rFonts w:ascii="Lucida Console" w:hAnsi="Lucida Console"/>
          <w:color w:val="0000FF"/>
        </w:rPr>
        <w:t>lower.tail</w:t>
      </w:r>
      <w:proofErr w:type="spellEnd"/>
      <w:r>
        <w:rPr>
          <w:rStyle w:val="gcwxi2kcpjb"/>
          <w:rFonts w:ascii="Lucida Console" w:hAnsi="Lucida Console"/>
          <w:color w:val="0000FF"/>
        </w:rPr>
        <w:t xml:space="preserve"> = FALSE)</w:t>
      </w:r>
    </w:p>
    <w:p w:rsidR="00436FC3" w:rsidRDefault="00436FC3" w:rsidP="00436FC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0.0668072</w:t>
      </w:r>
    </w:p>
    <w:p w:rsidR="00436FC3" w:rsidRDefault="00436FC3" w:rsidP="00805E24">
      <w:r w:rsidRPr="00617389">
        <w:rPr>
          <w:position w:val="-10"/>
        </w:rPr>
        <w:object w:dxaOrig="2180" w:dyaOrig="320">
          <v:shape id="_x0000_i1102" type="#_x0000_t75" style="width:109.05pt;height:16.05pt" o:ole="">
            <v:imagedata r:id="rId54" o:title=""/>
          </v:shape>
          <o:OLEObject Type="Embed" ProgID="Equation.DSMT4" ShapeID="_x0000_i1102" DrawAspect="Content" ObjectID="_1537038875" r:id="rId55"/>
        </w:object>
      </w:r>
    </w:p>
    <w:p w:rsidR="00E762A3" w:rsidRDefault="00E762A3" w:rsidP="00805E24">
      <w:r>
        <w:t>(b)</w:t>
      </w:r>
    </w:p>
    <w:p w:rsidR="00E762A3" w:rsidRPr="00E762A3" w:rsidRDefault="00E762A3" w:rsidP="00E762A3">
      <w:r w:rsidRPr="00E762A3">
        <w:t>The</w:t>
      </w:r>
      <w:r>
        <w:t xml:space="preserve"> </w:t>
      </w:r>
      <w:r w:rsidRPr="00E762A3">
        <w:t>population SD is known and the data are</w:t>
      </w:r>
      <w:r>
        <w:t xml:space="preserve"> </w:t>
      </w:r>
      <w:r w:rsidRPr="00E762A3">
        <w:t>nearly normal, so the sample mean will be</w:t>
      </w:r>
    </w:p>
    <w:p w:rsidR="00E762A3" w:rsidRDefault="00E762A3" w:rsidP="00E762A3">
      <w:r w:rsidRPr="00E762A3">
        <w:t>nearly normal with distribution</w:t>
      </w:r>
      <w:bookmarkStart w:id="20" w:name="OLE_LINK20"/>
      <w:bookmarkStart w:id="21" w:name="OLE_LINK21"/>
      <w:r w:rsidRPr="004033C7">
        <w:rPr>
          <w:position w:val="-28"/>
        </w:rPr>
        <w:object w:dxaOrig="1040" w:dyaOrig="660">
          <v:shape id="_x0000_i1105" type="#_x0000_t75" style="width:52.05pt;height:33.15pt" o:ole="">
            <v:imagedata r:id="rId56" o:title=""/>
          </v:shape>
          <o:OLEObject Type="Embed" ProgID="Equation.DSMT4" ShapeID="_x0000_i1105" DrawAspect="Content" ObjectID="_1537038876" r:id="rId57"/>
        </w:object>
      </w:r>
      <w:bookmarkEnd w:id="20"/>
      <w:bookmarkEnd w:id="21"/>
      <w:r w:rsidRPr="00E762A3">
        <w:t xml:space="preserve">i.e. </w:t>
      </w:r>
      <w:r w:rsidR="0006443A" w:rsidRPr="004033C7">
        <w:rPr>
          <w:position w:val="-28"/>
        </w:rPr>
        <w:object w:dxaOrig="3180" w:dyaOrig="660">
          <v:shape id="_x0000_i1110" type="#_x0000_t75" style="width:159.35pt;height:33.15pt" o:ole="">
            <v:imagedata r:id="rId58" o:title=""/>
          </v:shape>
          <o:OLEObject Type="Embed" ProgID="Equation.DSMT4" ShapeID="_x0000_i1110" DrawAspect="Content" ObjectID="_1537038877" r:id="rId59"/>
        </w:object>
      </w:r>
      <w:r>
        <w:t>.</w:t>
      </w:r>
    </w:p>
    <w:p w:rsidR="00BF7733" w:rsidRDefault="00E762A3" w:rsidP="00E762A3">
      <w:r w:rsidRPr="00E762A3">
        <w:t xml:space="preserve">(c) </w:t>
      </w:r>
    </w:p>
    <w:p w:rsidR="00BF7733" w:rsidRDefault="00BF7733" w:rsidP="00BF7733">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10500, mean = 9000,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1000/</w:t>
      </w:r>
      <w:proofErr w:type="spellStart"/>
      <w:r>
        <w:rPr>
          <w:rStyle w:val="gcwxi2kcpjb"/>
          <w:rFonts w:ascii="Lucida Console" w:hAnsi="Lucida Console"/>
          <w:color w:val="0000FF"/>
        </w:rPr>
        <w:t>sqrt</w:t>
      </w:r>
      <w:proofErr w:type="spellEnd"/>
      <w:r>
        <w:rPr>
          <w:rStyle w:val="gcwxi2kcpjb"/>
          <w:rFonts w:ascii="Lucida Console" w:hAnsi="Lucida Console"/>
          <w:color w:val="0000FF"/>
        </w:rPr>
        <w:t xml:space="preserve">(15), </w:t>
      </w:r>
      <w:proofErr w:type="spellStart"/>
      <w:r>
        <w:rPr>
          <w:rStyle w:val="gcwxi2kcpjb"/>
          <w:rFonts w:ascii="Lucida Console" w:hAnsi="Lucida Console"/>
          <w:color w:val="0000FF"/>
        </w:rPr>
        <w:t>lower.tail</w:t>
      </w:r>
      <w:proofErr w:type="spellEnd"/>
      <w:r>
        <w:rPr>
          <w:rStyle w:val="gcwxi2kcpjb"/>
          <w:rFonts w:ascii="Lucida Console" w:hAnsi="Lucida Console"/>
          <w:color w:val="0000FF"/>
        </w:rPr>
        <w:t xml:space="preserve"> = FALSE)</w:t>
      </w:r>
    </w:p>
    <w:p w:rsidR="00BF7733" w:rsidRDefault="00BF7733" w:rsidP="00BF773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3.133452e-09</w:t>
      </w:r>
    </w:p>
    <w:p w:rsidR="00BF7733" w:rsidRDefault="00BF7733" w:rsidP="00BF7733">
      <w:r>
        <w:t>The probability is nearly 0.</w:t>
      </w:r>
    </w:p>
    <w:p w:rsidR="00BF7733" w:rsidRDefault="00E762A3" w:rsidP="00E762A3">
      <w:r w:rsidRPr="00E762A3">
        <w:t>(d)</w:t>
      </w:r>
    </w:p>
    <w:p w:rsidR="005D3B62" w:rsidRDefault="005D3B62" w:rsidP="005D3B62">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x = </w:t>
      </w:r>
      <w:proofErr w:type="spellStart"/>
      <w:proofErr w:type="gramStart"/>
      <w:r>
        <w:rPr>
          <w:rStyle w:val="gcwxi2kcpjb"/>
          <w:rFonts w:ascii="Lucida Console" w:hAnsi="Lucida Console"/>
          <w:color w:val="0000FF"/>
        </w:rPr>
        <w:t>seq</w:t>
      </w:r>
      <w:proofErr w:type="spellEnd"/>
      <w:r>
        <w:rPr>
          <w:rStyle w:val="gcwxi2kcpjb"/>
          <w:rFonts w:ascii="Lucida Console" w:hAnsi="Lucida Console"/>
          <w:color w:val="0000FF"/>
        </w:rPr>
        <w:t>(</w:t>
      </w:r>
      <w:proofErr w:type="gramEnd"/>
      <w:r>
        <w:rPr>
          <w:rStyle w:val="gcwxi2kcpjb"/>
          <w:rFonts w:ascii="Lucida Console" w:hAnsi="Lucida Console"/>
          <w:color w:val="0000FF"/>
        </w:rPr>
        <w:t>6000, 12000,length = 10000)</w:t>
      </w:r>
    </w:p>
    <w:p w:rsidR="005D3B62" w:rsidRDefault="005D3B62" w:rsidP="005D3B62">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lastRenderedPageBreak/>
        <w:t xml:space="preserve">&gt; </w:t>
      </w:r>
      <w:r>
        <w:rPr>
          <w:rStyle w:val="gcwxi2kcpjb"/>
          <w:rFonts w:ascii="Lucida Console" w:hAnsi="Lucida Console"/>
          <w:color w:val="0000FF"/>
        </w:rPr>
        <w:t xml:space="preserve">y = </w:t>
      </w:r>
      <w:proofErr w:type="spellStart"/>
      <w:r>
        <w:rPr>
          <w:rStyle w:val="gcwxi2kcpjb"/>
          <w:rFonts w:ascii="Lucida Console" w:hAnsi="Lucida Console"/>
          <w:color w:val="0000FF"/>
        </w:rPr>
        <w:t>dnorm</w:t>
      </w:r>
      <w:proofErr w:type="spellEnd"/>
      <w:r>
        <w:rPr>
          <w:rStyle w:val="gcwxi2kcpjb"/>
          <w:rFonts w:ascii="Lucida Console" w:hAnsi="Lucida Console"/>
          <w:color w:val="0000FF"/>
        </w:rPr>
        <w:t>(x,9000,1000)</w:t>
      </w:r>
    </w:p>
    <w:p w:rsidR="005D3B62" w:rsidRDefault="005D3B62" w:rsidP="005D3B62">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w:t>
      </w:r>
      <w:proofErr w:type="spellStart"/>
      <w:proofErr w:type="gramStart"/>
      <w:r>
        <w:rPr>
          <w:rStyle w:val="gcwxi2kcpjb"/>
          <w:rFonts w:ascii="Lucida Console" w:hAnsi="Lucida Console"/>
          <w:color w:val="0000FF"/>
        </w:rPr>
        <w:t>x,y</w:t>
      </w:r>
      <w:proofErr w:type="gramEnd"/>
      <w:r>
        <w:rPr>
          <w:rStyle w:val="gcwxi2kcpjb"/>
          <w:rFonts w:ascii="Lucida Console" w:hAnsi="Lucida Console"/>
          <w:color w:val="0000FF"/>
        </w:rPr>
        <w:t>,col</w:t>
      </w:r>
      <w:proofErr w:type="spellEnd"/>
      <w:r>
        <w:rPr>
          <w:rStyle w:val="gcwxi2kcpjb"/>
          <w:rFonts w:ascii="Lucida Console" w:hAnsi="Lucida Console"/>
          <w:color w:val="0000FF"/>
        </w:rPr>
        <w:t>="black",</w:t>
      </w:r>
      <w:proofErr w:type="spellStart"/>
      <w:r>
        <w:rPr>
          <w:rStyle w:val="gcwxi2kcpjb"/>
          <w:rFonts w:ascii="Lucida Console" w:hAnsi="Lucida Console"/>
          <w:color w:val="0000FF"/>
        </w:rPr>
        <w:t>ylim</w:t>
      </w:r>
      <w:proofErr w:type="spellEnd"/>
      <w:r>
        <w:rPr>
          <w:rStyle w:val="gcwxi2kcpjb"/>
          <w:rFonts w:ascii="Lucida Console" w:hAnsi="Lucida Console"/>
          <w:color w:val="0000FF"/>
        </w:rPr>
        <w:t>=c(0,0.0016),type='l')</w:t>
      </w:r>
    </w:p>
    <w:p w:rsidR="005D3B62" w:rsidRDefault="005D3B62" w:rsidP="005D3B62">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lines(</w:t>
      </w:r>
      <w:proofErr w:type="spellStart"/>
      <w:proofErr w:type="gramStart"/>
      <w:r>
        <w:rPr>
          <w:rStyle w:val="gcwxi2kcpjb"/>
          <w:rFonts w:ascii="Lucida Console" w:hAnsi="Lucida Console"/>
          <w:color w:val="0000FF"/>
        </w:rPr>
        <w:t>x,dnorm</w:t>
      </w:r>
      <w:proofErr w:type="spellEnd"/>
      <w:proofErr w:type="gramEnd"/>
      <w:r>
        <w:rPr>
          <w:rStyle w:val="gcwxi2kcpjb"/>
          <w:rFonts w:ascii="Lucida Console" w:hAnsi="Lucida Console"/>
          <w:color w:val="0000FF"/>
        </w:rPr>
        <w:t>(x,9000,1000/</w:t>
      </w:r>
      <w:proofErr w:type="spellStart"/>
      <w:r>
        <w:rPr>
          <w:rStyle w:val="gcwxi2kcpjb"/>
          <w:rFonts w:ascii="Lucida Console" w:hAnsi="Lucida Console"/>
          <w:color w:val="0000FF"/>
        </w:rPr>
        <w:t>sqrt</w:t>
      </w:r>
      <w:proofErr w:type="spellEnd"/>
      <w:r>
        <w:rPr>
          <w:rStyle w:val="gcwxi2kcpjb"/>
          <w:rFonts w:ascii="Lucida Console" w:hAnsi="Lucida Console"/>
          <w:color w:val="0000FF"/>
        </w:rPr>
        <w:t>(15)),col="blue",</w:t>
      </w:r>
      <w:proofErr w:type="spellStart"/>
      <w:r>
        <w:rPr>
          <w:rStyle w:val="gcwxi2kcpjb"/>
          <w:rFonts w:ascii="Lucida Console" w:hAnsi="Lucida Console"/>
          <w:color w:val="0000FF"/>
        </w:rPr>
        <w:t>lty</w:t>
      </w:r>
      <w:proofErr w:type="spellEnd"/>
      <w:r>
        <w:rPr>
          <w:rStyle w:val="gcwxi2kcpjb"/>
          <w:rFonts w:ascii="Lucida Console" w:hAnsi="Lucida Console"/>
          <w:color w:val="0000FF"/>
        </w:rPr>
        <w:t>=2)</w:t>
      </w:r>
    </w:p>
    <w:p w:rsidR="005D3B62" w:rsidRDefault="005D3B62" w:rsidP="005D3B62">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gramStart"/>
      <w:r>
        <w:rPr>
          <w:rStyle w:val="gcwxi2kcpjb"/>
          <w:rFonts w:ascii="Lucida Console" w:hAnsi="Lucida Console"/>
          <w:color w:val="0000FF"/>
        </w:rPr>
        <w:t>legend(</w:t>
      </w:r>
      <w:proofErr w:type="gramEnd"/>
      <w:r>
        <w:rPr>
          <w:rStyle w:val="gcwxi2kcpjb"/>
          <w:rFonts w:ascii="Lucida Console" w:hAnsi="Lucida Console"/>
          <w:color w:val="0000FF"/>
        </w:rPr>
        <w:t>"</w:t>
      </w:r>
      <w:proofErr w:type="spellStart"/>
      <w:r>
        <w:rPr>
          <w:rStyle w:val="gcwxi2kcpjb"/>
          <w:rFonts w:ascii="Lucida Console" w:hAnsi="Lucida Console"/>
          <w:color w:val="0000FF"/>
        </w:rPr>
        <w:t>topright</w:t>
      </w:r>
      <w:proofErr w:type="spellEnd"/>
      <w:r>
        <w:rPr>
          <w:rStyle w:val="gcwxi2kcpjb"/>
          <w:rFonts w:ascii="Lucida Console" w:hAnsi="Lucida Console"/>
          <w:color w:val="0000FF"/>
        </w:rPr>
        <w:t>",legend=paste(c("</w:t>
      </w:r>
      <w:proofErr w:type="spellStart"/>
      <w:r>
        <w:rPr>
          <w:rStyle w:val="gcwxi2kcpjb"/>
          <w:rFonts w:ascii="Lucida Console" w:hAnsi="Lucida Console"/>
          <w:color w:val="0000FF"/>
        </w:rPr>
        <w:t>Population","Sampling</w:t>
      </w:r>
      <w:proofErr w:type="spellEnd"/>
      <w:r>
        <w:rPr>
          <w:rStyle w:val="gcwxi2kcpjb"/>
          <w:rFonts w:ascii="Lucida Console" w:hAnsi="Lucida Console"/>
          <w:color w:val="0000FF"/>
        </w:rPr>
        <w:t xml:space="preserve"> (n = 15)")),</w:t>
      </w:r>
      <w:proofErr w:type="spellStart"/>
      <w:r>
        <w:rPr>
          <w:rStyle w:val="gcwxi2kcpjb"/>
          <w:rFonts w:ascii="Lucida Console" w:hAnsi="Lucida Console"/>
          <w:color w:val="0000FF"/>
        </w:rPr>
        <w:t>lwd</w:t>
      </w:r>
      <w:proofErr w:type="spellEnd"/>
      <w:r>
        <w:rPr>
          <w:rStyle w:val="gcwxi2kcpjb"/>
          <w:rFonts w:ascii="Lucida Console" w:hAnsi="Lucida Console"/>
          <w:color w:val="0000FF"/>
        </w:rPr>
        <w:t xml:space="preserve">=1, </w:t>
      </w:r>
      <w:proofErr w:type="spellStart"/>
      <w:r>
        <w:rPr>
          <w:rStyle w:val="gcwxi2kcpjb"/>
          <w:rFonts w:ascii="Lucida Console" w:hAnsi="Lucida Console"/>
          <w:color w:val="0000FF"/>
        </w:rPr>
        <w:t>lty</w:t>
      </w:r>
      <w:proofErr w:type="spellEnd"/>
      <w:r>
        <w:rPr>
          <w:rStyle w:val="gcwxi2kcpjb"/>
          <w:rFonts w:ascii="Lucida Console" w:hAnsi="Lucida Console"/>
          <w:color w:val="0000FF"/>
        </w:rPr>
        <w:t>=c(1,2), col=c("</w:t>
      </w:r>
      <w:proofErr w:type="spellStart"/>
      <w:r>
        <w:rPr>
          <w:rStyle w:val="gcwxi2kcpjb"/>
          <w:rFonts w:ascii="Lucida Console" w:hAnsi="Lucida Console"/>
          <w:color w:val="0000FF"/>
        </w:rPr>
        <w:t>black","blue</w:t>
      </w:r>
      <w:proofErr w:type="spellEnd"/>
      <w:r>
        <w:rPr>
          <w:rStyle w:val="gcwxi2kcpjb"/>
          <w:rFonts w:ascii="Lucida Console" w:hAnsi="Lucida Console"/>
          <w:color w:val="0000FF"/>
        </w:rPr>
        <w:t>"),</w:t>
      </w:r>
      <w:proofErr w:type="spellStart"/>
      <w:r>
        <w:rPr>
          <w:rStyle w:val="gcwxi2kcpjb"/>
          <w:rFonts w:ascii="Lucida Console" w:hAnsi="Lucida Console"/>
          <w:color w:val="0000FF"/>
        </w:rPr>
        <w:t>text.font</w:t>
      </w:r>
      <w:proofErr w:type="spellEnd"/>
      <w:r>
        <w:rPr>
          <w:rStyle w:val="gcwxi2kcpjb"/>
          <w:rFonts w:ascii="Lucida Console" w:hAnsi="Lucida Console"/>
          <w:color w:val="0000FF"/>
        </w:rPr>
        <w:t xml:space="preserve"> = 1.5)</w:t>
      </w:r>
    </w:p>
    <w:p w:rsidR="00E762A3" w:rsidRDefault="005D3B62" w:rsidP="00664326">
      <w:pPr>
        <w:jc w:val="center"/>
      </w:pPr>
      <w:r>
        <w:rPr>
          <w:noProof/>
        </w:rPr>
        <w:drawing>
          <wp:inline distT="0" distB="0" distL="0" distR="0">
            <wp:extent cx="4433610" cy="2281473"/>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png"/>
                    <pic:cNvPicPr/>
                  </pic:nvPicPr>
                  <pic:blipFill rotWithShape="1">
                    <a:blip r:embed="rId60">
                      <a:extLst>
                        <a:ext uri="{28A0092B-C50C-407E-A947-70E740481C1C}">
                          <a14:useLocalDpi xmlns:a14="http://schemas.microsoft.com/office/drawing/2010/main" val="0"/>
                        </a:ext>
                      </a:extLst>
                    </a:blip>
                    <a:srcRect t="14470"/>
                    <a:stretch/>
                  </pic:blipFill>
                  <pic:spPr bwMode="auto">
                    <a:xfrm>
                      <a:off x="0" y="0"/>
                      <a:ext cx="4445177" cy="2287425"/>
                    </a:xfrm>
                    <a:prstGeom prst="rect">
                      <a:avLst/>
                    </a:prstGeom>
                    <a:ln>
                      <a:noFill/>
                    </a:ln>
                    <a:extLst>
                      <a:ext uri="{53640926-AAD7-44D8-BBD7-CCE9431645EC}">
                        <a14:shadowObscured xmlns:a14="http://schemas.microsoft.com/office/drawing/2010/main"/>
                      </a:ext>
                    </a:extLst>
                  </pic:spPr>
                </pic:pic>
              </a:graphicData>
            </a:graphic>
          </wp:inline>
        </w:drawing>
      </w:r>
    </w:p>
    <w:p w:rsidR="00A83442" w:rsidRDefault="00A83442" w:rsidP="00A83442">
      <w:r w:rsidRPr="00A83442">
        <w:t xml:space="preserve">(e) </w:t>
      </w:r>
    </w:p>
    <w:p w:rsidR="00A83442" w:rsidRDefault="00A83442" w:rsidP="00A83442">
      <w:r w:rsidRPr="00A83442">
        <w:t>We could not estimate (a) without a nearly</w:t>
      </w:r>
      <w:r>
        <w:t xml:space="preserve"> </w:t>
      </w:r>
      <w:r w:rsidRPr="00A83442">
        <w:t>normal population distribution. We also could</w:t>
      </w:r>
      <w:r>
        <w:t xml:space="preserve"> </w:t>
      </w:r>
      <w:r w:rsidRPr="00A83442">
        <w:t>not estimate (c) s</w:t>
      </w:r>
      <w:r w:rsidR="00DD0D75">
        <w:t>ince the sample size is not large enough</w:t>
      </w:r>
      <w:r w:rsidRPr="00A83442">
        <w:t xml:space="preserve"> to yield a </w:t>
      </w:r>
      <w:r>
        <w:t>nearly normal sampling distribu</w:t>
      </w:r>
      <w:r w:rsidRPr="00A83442">
        <w:t>tion if the population distr</w:t>
      </w:r>
      <w:r>
        <w:t xml:space="preserve">ibution is not nearly </w:t>
      </w:r>
      <w:r w:rsidRPr="00A83442">
        <w:t>normal.</w:t>
      </w:r>
    </w:p>
    <w:p w:rsidR="002239AB" w:rsidRPr="00805E24" w:rsidRDefault="002239AB" w:rsidP="00A83442"/>
    <w:p w:rsidR="00F66ABC" w:rsidRDefault="00F66ABC" w:rsidP="00F66ABC">
      <w:pPr>
        <w:pStyle w:val="Heading1"/>
      </w:pPr>
      <w:r>
        <w:t>4.44</w:t>
      </w:r>
    </w:p>
    <w:p w:rsidR="00805E24" w:rsidRDefault="007F08AA" w:rsidP="00805E24">
      <w:r>
        <w:rPr>
          <w:rFonts w:hint="eastAsia"/>
        </w:rPr>
        <w:t>(</w:t>
      </w:r>
      <w:r>
        <w:t>a</w:t>
      </w:r>
      <w:r>
        <w:rPr>
          <w:rFonts w:hint="eastAsia"/>
        </w:rPr>
        <w:t>)</w:t>
      </w:r>
    </w:p>
    <w:p w:rsidR="007F08AA" w:rsidRDefault="007F08AA" w:rsidP="00805E24">
      <w:r w:rsidRPr="00CF1B0F">
        <w:rPr>
          <w:position w:val="-12"/>
        </w:rPr>
        <w:object w:dxaOrig="1219" w:dyaOrig="360">
          <v:shape id="_x0000_i1113" type="#_x0000_t75" style="width:60.95pt;height:18.2pt" o:ole="">
            <v:imagedata r:id="rId61" o:title=""/>
          </v:shape>
          <o:OLEObject Type="Embed" ProgID="Equation.DSMT4" ShapeID="_x0000_i1113" DrawAspect="Content" ObjectID="_1537038878" r:id="rId62"/>
        </w:object>
      </w:r>
      <w:r>
        <w:t>(The 8% of nearsightedness of children is accurate.)</w:t>
      </w:r>
    </w:p>
    <w:bookmarkStart w:id="22" w:name="OLE_LINK22"/>
    <w:bookmarkStart w:id="23" w:name="OLE_LINK23"/>
    <w:p w:rsidR="007F08AA" w:rsidRDefault="007F08AA" w:rsidP="007F08AA">
      <w:r w:rsidRPr="00CF1B0F">
        <w:rPr>
          <w:position w:val="-12"/>
        </w:rPr>
        <w:object w:dxaOrig="1240" w:dyaOrig="360">
          <v:shape id="_x0000_i1116" type="#_x0000_t75" style="width:62pt;height:18.2pt" o:ole="">
            <v:imagedata r:id="rId63" o:title=""/>
          </v:shape>
          <o:OLEObject Type="Embed" ProgID="Equation.DSMT4" ShapeID="_x0000_i1116" DrawAspect="Content" ObjectID="_1537038879" r:id="rId64"/>
        </w:object>
      </w:r>
      <w:bookmarkEnd w:id="22"/>
      <w:bookmarkEnd w:id="23"/>
      <w:r>
        <w:t xml:space="preserve">(The 8% of nearsightedness of children is </w:t>
      </w:r>
      <w:r>
        <w:t>in</w:t>
      </w:r>
      <w:r>
        <w:t>accurate.)</w:t>
      </w:r>
    </w:p>
    <w:p w:rsidR="007F08AA" w:rsidRDefault="00EB0749" w:rsidP="00805E24">
      <w:r>
        <w:t>(b)</w:t>
      </w:r>
    </w:p>
    <w:p w:rsidR="00EB0749" w:rsidRDefault="00EB0749" w:rsidP="00805E24">
      <w:r>
        <w:t xml:space="preserve">The proportion of nearsighted children in this sample is </w:t>
      </w:r>
      <w:r w:rsidRPr="00EB0749">
        <w:rPr>
          <w:position w:val="-6"/>
        </w:rPr>
        <w:object w:dxaOrig="1560" w:dyaOrig="279">
          <v:shape id="_x0000_i1120" type="#_x0000_t75" style="width:78.05pt;height:13.9pt" o:ole="">
            <v:imagedata r:id="rId65" o:title=""/>
          </v:shape>
          <o:OLEObject Type="Embed" ProgID="Equation.DSMT4" ShapeID="_x0000_i1120" DrawAspect="Content" ObjectID="_1537038880" r:id="rId66"/>
        </w:object>
      </w:r>
      <w:r>
        <w:t>.</w:t>
      </w:r>
    </w:p>
    <w:p w:rsidR="0014467B" w:rsidRDefault="0014467B" w:rsidP="00805E24">
      <w:r>
        <w:t>(c)</w:t>
      </w:r>
    </w:p>
    <w:p w:rsidR="0014467B" w:rsidRDefault="005D6A56" w:rsidP="00805E24">
      <w:r w:rsidRPr="005D6A56">
        <w:rPr>
          <w:position w:val="-24"/>
        </w:rPr>
        <w:object w:dxaOrig="3220" w:dyaOrig="620">
          <v:shape id="_x0000_i1123" type="#_x0000_t75" style="width:161.1pt;height:31pt" o:ole="">
            <v:imagedata r:id="rId67" o:title=""/>
          </v:shape>
          <o:OLEObject Type="Embed" ProgID="Equation.DSMT4" ShapeID="_x0000_i1123" DrawAspect="Content" ObjectID="_1537038881" r:id="rId68"/>
        </w:object>
      </w:r>
    </w:p>
    <w:p w:rsidR="00FA350F" w:rsidRDefault="00FA350F" w:rsidP="00805E24">
      <w:r>
        <w:t>(d)</w:t>
      </w:r>
    </w:p>
    <w:p w:rsidR="00FA350F" w:rsidRDefault="00FA350F" w:rsidP="00FA350F">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gramStart"/>
      <w:r>
        <w:rPr>
          <w:rStyle w:val="gcwxi2kcpjb"/>
          <w:rFonts w:ascii="Lucida Console" w:hAnsi="Lucida Console"/>
          <w:color w:val="0000FF"/>
        </w:rPr>
        <w:t>library(</w:t>
      </w:r>
      <w:proofErr w:type="gramEnd"/>
      <w:r>
        <w:rPr>
          <w:rStyle w:val="gcwxi2kcpjb"/>
          <w:rFonts w:ascii="Lucida Console" w:hAnsi="Lucida Console"/>
          <w:color w:val="0000FF"/>
        </w:rPr>
        <w:t>"</w:t>
      </w:r>
      <w:proofErr w:type="spellStart"/>
      <w:r>
        <w:rPr>
          <w:rStyle w:val="gcwxi2kcpjb"/>
          <w:rFonts w:ascii="Lucida Console" w:hAnsi="Lucida Console"/>
          <w:color w:val="0000FF"/>
        </w:rPr>
        <w:t>tigerstats</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lib.loc</w:t>
      </w:r>
      <w:proofErr w:type="spellEnd"/>
      <w:r>
        <w:rPr>
          <w:rStyle w:val="gcwxi2kcpjb"/>
          <w:rFonts w:ascii="Lucida Console" w:hAnsi="Lucida Console"/>
          <w:color w:val="0000FF"/>
        </w:rPr>
        <w:t>="C:/Program Files for operation/R-3.3.1/library")</w:t>
      </w:r>
    </w:p>
    <w:p w:rsidR="00FA350F" w:rsidRDefault="00FA350F" w:rsidP="00FA350F">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bound = c(-1.436,1.436), region = "outside", mean = 0,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1, graph = TRUE)</w:t>
      </w:r>
    </w:p>
    <w:p w:rsidR="00FA350F" w:rsidRDefault="00FA350F" w:rsidP="00FA350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0.1510023</w:t>
      </w:r>
    </w:p>
    <w:p w:rsidR="00FA350F" w:rsidRDefault="00FA350F" w:rsidP="00FA350F">
      <w:pPr>
        <w:jc w:val="center"/>
      </w:pPr>
      <w:r>
        <w:rPr>
          <w:noProof/>
        </w:rPr>
        <w:lastRenderedPageBreak/>
        <w:drawing>
          <wp:inline distT="0" distB="0" distL="0" distR="0">
            <wp:extent cx="4974879" cy="2993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4.png"/>
                    <pic:cNvPicPr/>
                  </pic:nvPicPr>
                  <pic:blipFill>
                    <a:blip r:embed="rId69">
                      <a:extLst>
                        <a:ext uri="{28A0092B-C50C-407E-A947-70E740481C1C}">
                          <a14:useLocalDpi xmlns:a14="http://schemas.microsoft.com/office/drawing/2010/main" val="0"/>
                        </a:ext>
                      </a:extLst>
                    </a:blip>
                    <a:stretch>
                      <a:fillRect/>
                    </a:stretch>
                  </pic:blipFill>
                  <pic:spPr>
                    <a:xfrm>
                      <a:off x="0" y="0"/>
                      <a:ext cx="4979279" cy="2995731"/>
                    </a:xfrm>
                    <a:prstGeom prst="rect">
                      <a:avLst/>
                    </a:prstGeom>
                  </pic:spPr>
                </pic:pic>
              </a:graphicData>
            </a:graphic>
          </wp:inline>
        </w:drawing>
      </w:r>
    </w:p>
    <w:p w:rsidR="00FA350F" w:rsidRDefault="00FA350F" w:rsidP="00FA350F">
      <w:r>
        <w:rPr>
          <w:rFonts w:hint="eastAsia"/>
        </w:rPr>
        <w:t>The</w:t>
      </w:r>
      <w:r>
        <w:t xml:space="preserve"> p-value is 0.151 for this hypothesis test.</w:t>
      </w:r>
    </w:p>
    <w:p w:rsidR="00FA350F" w:rsidRDefault="00FA350F" w:rsidP="00FA350F">
      <w:r>
        <w:t>(e)</w:t>
      </w:r>
    </w:p>
    <w:p w:rsidR="00FA350F" w:rsidRDefault="00FA350F" w:rsidP="00FA350F">
      <w:r>
        <w:t>Because t</w:t>
      </w:r>
      <w:r w:rsidR="00B10D48">
        <w:t xml:space="preserve">he p-value is larger than 0.05, we are failed to reject the null hypothesis. </w:t>
      </w:r>
      <w:r>
        <w:t xml:space="preserve">The conclusion is </w:t>
      </w:r>
      <w:r w:rsidR="00B10D48">
        <w:t xml:space="preserve">that null hypothesis is right. i.e. </w:t>
      </w:r>
      <w:r w:rsidR="00B10D48">
        <w:t>The 8% of nearsightedness of children is accurate.</w:t>
      </w:r>
    </w:p>
    <w:p w:rsidR="002239AB" w:rsidRPr="00805E24" w:rsidRDefault="002239AB" w:rsidP="00FA350F">
      <w:bookmarkStart w:id="24" w:name="_GoBack"/>
      <w:bookmarkEnd w:id="24"/>
    </w:p>
    <w:p w:rsidR="00B846BC" w:rsidRDefault="00F66ABC" w:rsidP="00F66ABC">
      <w:pPr>
        <w:pStyle w:val="Heading1"/>
      </w:pPr>
      <w:r>
        <w:t>4.48</w:t>
      </w:r>
    </w:p>
    <w:p w:rsidR="0023169B" w:rsidRPr="0023169B" w:rsidRDefault="00BB713F" w:rsidP="0023169B">
      <w:r>
        <w:t>Because of</w:t>
      </w:r>
      <w:r w:rsidR="007828F9" w:rsidRPr="007828F9">
        <w:rPr>
          <w:position w:val="-58"/>
        </w:rPr>
        <w:object w:dxaOrig="2960" w:dyaOrig="960">
          <v:shape id="_x0000_i1126" type="#_x0000_t75" style="width:148.3pt;height:48.1pt" o:ole="">
            <v:imagedata r:id="rId70" o:title=""/>
          </v:shape>
          <o:OLEObject Type="Embed" ProgID="Equation.DSMT4" ShapeID="_x0000_i1126" DrawAspect="Content" ObjectID="_1537038882" r:id="rId71"/>
        </w:object>
      </w:r>
      <w:r>
        <w:t xml:space="preserve">, if n is larger,  </w:t>
      </w:r>
      <w:r w:rsidR="00BB20A5" w:rsidRPr="00BB20A5">
        <w:rPr>
          <w:position w:val="-10"/>
        </w:rPr>
        <w:object w:dxaOrig="400" w:dyaOrig="320">
          <v:shape id="_x0000_i1129" type="#_x0000_t75" style="width:19.95pt;height:16.05pt" o:ole="">
            <v:imagedata r:id="rId72" o:title=""/>
          </v:shape>
          <o:OLEObject Type="Embed" ProgID="Equation.DSMT4" ShapeID="_x0000_i1129" DrawAspect="Content" ObjectID="_1537038883" r:id="rId73"/>
        </w:object>
      </w:r>
      <w:r>
        <w:t xml:space="preserve">will be larger too. </w:t>
      </w:r>
      <w:r w:rsidR="00375810">
        <w:t xml:space="preserve">Then the area that constitutes p-value will decrease. </w:t>
      </w:r>
      <w:r w:rsidR="005754F0">
        <w:t>So p</w:t>
      </w:r>
      <w:r w:rsidR="00375810">
        <w:t>-value will decrease.</w:t>
      </w:r>
    </w:p>
    <w:sectPr w:rsidR="0023169B" w:rsidRPr="0023169B" w:rsidSect="00E56138">
      <w:headerReference w:type="default" r:id="rId74"/>
      <w:footerReference w:type="default" r:id="rId75"/>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9A5" w:rsidRDefault="00A149A5" w:rsidP="0059743B">
      <w:pPr>
        <w:spacing w:after="0" w:line="240" w:lineRule="auto"/>
      </w:pPr>
      <w:r>
        <w:separator/>
      </w:r>
    </w:p>
  </w:endnote>
  <w:endnote w:type="continuationSeparator" w:id="0">
    <w:p w:rsidR="00A149A5" w:rsidRDefault="00A149A5" w:rsidP="0059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9">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562329"/>
      <w:docPartObj>
        <w:docPartGallery w:val="Page Numbers (Bottom of Page)"/>
        <w:docPartUnique/>
      </w:docPartObj>
    </w:sdtPr>
    <w:sdtEndPr>
      <w:rPr>
        <w:noProof/>
      </w:rPr>
    </w:sdtEndPr>
    <w:sdtContent>
      <w:p w:rsidR="005D6EC4" w:rsidRDefault="005D6EC4">
        <w:pPr>
          <w:pStyle w:val="Footer"/>
          <w:jc w:val="center"/>
        </w:pPr>
        <w:r>
          <w:fldChar w:fldCharType="begin"/>
        </w:r>
        <w:r>
          <w:instrText xml:space="preserve"> PAGE   \* MERGEFORMAT </w:instrText>
        </w:r>
        <w:r>
          <w:fldChar w:fldCharType="separate"/>
        </w:r>
        <w:r w:rsidR="002239AB">
          <w:rPr>
            <w:noProof/>
          </w:rPr>
          <w:t>7</w:t>
        </w:r>
        <w:r>
          <w:rPr>
            <w:noProof/>
          </w:rPr>
          <w:fldChar w:fldCharType="end"/>
        </w:r>
      </w:p>
    </w:sdtContent>
  </w:sdt>
  <w:p w:rsidR="005D6EC4" w:rsidRDefault="005D6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9A5" w:rsidRDefault="00A149A5" w:rsidP="0059743B">
      <w:pPr>
        <w:spacing w:after="0" w:line="240" w:lineRule="auto"/>
      </w:pPr>
      <w:r>
        <w:separator/>
      </w:r>
    </w:p>
  </w:footnote>
  <w:footnote w:type="continuationSeparator" w:id="0">
    <w:p w:rsidR="00A149A5" w:rsidRDefault="00A149A5" w:rsidP="00597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EC4" w:rsidRDefault="005D6EC4">
    <w:pPr>
      <w:pStyle w:val="Header"/>
    </w:pPr>
    <w:r>
      <w:rPr>
        <w:rFonts w:hint="eastAsia"/>
      </w:rPr>
      <w:t>LIS</w:t>
    </w:r>
    <w:r>
      <w:t>542</w:t>
    </w:r>
    <w:r>
      <w:ptab w:relativeTo="margin" w:alignment="center" w:leader="none"/>
    </w:r>
    <w:r w:rsidR="009D07E5">
      <w:t xml:space="preserve">Assignment </w:t>
    </w:r>
    <w:r w:rsidR="000F5F4F">
      <w:rPr>
        <w:rFonts w:hint="eastAsia"/>
      </w:rPr>
      <w:t>4</w:t>
    </w:r>
    <w:r>
      <w:ptab w:relativeTo="margin" w:alignment="right" w:leader="none"/>
    </w:r>
    <w:r>
      <w:t>Hui Lyu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69"/>
    <w:rsid w:val="00002184"/>
    <w:rsid w:val="00003D57"/>
    <w:rsid w:val="0000577D"/>
    <w:rsid w:val="000057AD"/>
    <w:rsid w:val="0001180F"/>
    <w:rsid w:val="00014F9D"/>
    <w:rsid w:val="00016545"/>
    <w:rsid w:val="00021C27"/>
    <w:rsid w:val="00025B83"/>
    <w:rsid w:val="000303BA"/>
    <w:rsid w:val="00036CD0"/>
    <w:rsid w:val="00040269"/>
    <w:rsid w:val="00057D9A"/>
    <w:rsid w:val="0006443A"/>
    <w:rsid w:val="00072C7C"/>
    <w:rsid w:val="00076C41"/>
    <w:rsid w:val="00077C09"/>
    <w:rsid w:val="00082117"/>
    <w:rsid w:val="000865B0"/>
    <w:rsid w:val="000A20B8"/>
    <w:rsid w:val="000B6DEC"/>
    <w:rsid w:val="000C20ED"/>
    <w:rsid w:val="000C3DEF"/>
    <w:rsid w:val="000C6D89"/>
    <w:rsid w:val="000D22CE"/>
    <w:rsid w:val="000E5ED6"/>
    <w:rsid w:val="000F5F4F"/>
    <w:rsid w:val="001279D2"/>
    <w:rsid w:val="0013709F"/>
    <w:rsid w:val="00142A89"/>
    <w:rsid w:val="0014467B"/>
    <w:rsid w:val="00154913"/>
    <w:rsid w:val="001640CB"/>
    <w:rsid w:val="00171319"/>
    <w:rsid w:val="00174207"/>
    <w:rsid w:val="00175ACA"/>
    <w:rsid w:val="00177195"/>
    <w:rsid w:val="00180F19"/>
    <w:rsid w:val="00184775"/>
    <w:rsid w:val="001869DF"/>
    <w:rsid w:val="001A350D"/>
    <w:rsid w:val="001A6C90"/>
    <w:rsid w:val="001A7A7D"/>
    <w:rsid w:val="001B376B"/>
    <w:rsid w:val="001C7EE7"/>
    <w:rsid w:val="001E3652"/>
    <w:rsid w:val="001F01A0"/>
    <w:rsid w:val="001F1BD0"/>
    <w:rsid w:val="001F43EB"/>
    <w:rsid w:val="00200795"/>
    <w:rsid w:val="00213DA4"/>
    <w:rsid w:val="0021432C"/>
    <w:rsid w:val="002239AB"/>
    <w:rsid w:val="00225E49"/>
    <w:rsid w:val="0023169B"/>
    <w:rsid w:val="00236D94"/>
    <w:rsid w:val="00240B3C"/>
    <w:rsid w:val="002626A8"/>
    <w:rsid w:val="00266A84"/>
    <w:rsid w:val="00277678"/>
    <w:rsid w:val="00291F86"/>
    <w:rsid w:val="002A162B"/>
    <w:rsid w:val="002A5955"/>
    <w:rsid w:val="002B42D3"/>
    <w:rsid w:val="002B6100"/>
    <w:rsid w:val="002D4182"/>
    <w:rsid w:val="002D4F45"/>
    <w:rsid w:val="002D75A8"/>
    <w:rsid w:val="002E1077"/>
    <w:rsid w:val="002E10E2"/>
    <w:rsid w:val="002E2914"/>
    <w:rsid w:val="002E3C22"/>
    <w:rsid w:val="002E552D"/>
    <w:rsid w:val="002E7757"/>
    <w:rsid w:val="002F0852"/>
    <w:rsid w:val="002F39CD"/>
    <w:rsid w:val="0030087B"/>
    <w:rsid w:val="00303990"/>
    <w:rsid w:val="003135B5"/>
    <w:rsid w:val="00314F3F"/>
    <w:rsid w:val="00316ABA"/>
    <w:rsid w:val="003170D8"/>
    <w:rsid w:val="00322073"/>
    <w:rsid w:val="00323B7C"/>
    <w:rsid w:val="003461E5"/>
    <w:rsid w:val="003472A8"/>
    <w:rsid w:val="00353FB0"/>
    <w:rsid w:val="003579BF"/>
    <w:rsid w:val="00357FD8"/>
    <w:rsid w:val="0037153A"/>
    <w:rsid w:val="00371CCD"/>
    <w:rsid w:val="00375810"/>
    <w:rsid w:val="0038279E"/>
    <w:rsid w:val="00382E59"/>
    <w:rsid w:val="0038599D"/>
    <w:rsid w:val="003A34EA"/>
    <w:rsid w:val="003B365F"/>
    <w:rsid w:val="003B382B"/>
    <w:rsid w:val="003B5309"/>
    <w:rsid w:val="003C2345"/>
    <w:rsid w:val="003C5941"/>
    <w:rsid w:val="003D1CBA"/>
    <w:rsid w:val="003E649C"/>
    <w:rsid w:val="003E664E"/>
    <w:rsid w:val="003E67ED"/>
    <w:rsid w:val="003F606C"/>
    <w:rsid w:val="00401D7B"/>
    <w:rsid w:val="004047C5"/>
    <w:rsid w:val="00407286"/>
    <w:rsid w:val="004350BB"/>
    <w:rsid w:val="00436FC3"/>
    <w:rsid w:val="00441F79"/>
    <w:rsid w:val="00451F0F"/>
    <w:rsid w:val="0046199C"/>
    <w:rsid w:val="00465B35"/>
    <w:rsid w:val="00465E0C"/>
    <w:rsid w:val="00477C87"/>
    <w:rsid w:val="004809F9"/>
    <w:rsid w:val="00495662"/>
    <w:rsid w:val="004A6E78"/>
    <w:rsid w:val="004A7ED8"/>
    <w:rsid w:val="004B013C"/>
    <w:rsid w:val="004B3778"/>
    <w:rsid w:val="004E2738"/>
    <w:rsid w:val="004E69BA"/>
    <w:rsid w:val="004F2C40"/>
    <w:rsid w:val="004F4F2B"/>
    <w:rsid w:val="004F5C79"/>
    <w:rsid w:val="00502A28"/>
    <w:rsid w:val="00502CA2"/>
    <w:rsid w:val="0051748D"/>
    <w:rsid w:val="00523702"/>
    <w:rsid w:val="00531AAB"/>
    <w:rsid w:val="00532A02"/>
    <w:rsid w:val="005338AB"/>
    <w:rsid w:val="005359AA"/>
    <w:rsid w:val="0053739F"/>
    <w:rsid w:val="00541DD4"/>
    <w:rsid w:val="005535F0"/>
    <w:rsid w:val="0055432F"/>
    <w:rsid w:val="005665C8"/>
    <w:rsid w:val="005754F0"/>
    <w:rsid w:val="0059743B"/>
    <w:rsid w:val="005A2DAA"/>
    <w:rsid w:val="005C7BE6"/>
    <w:rsid w:val="005D0881"/>
    <w:rsid w:val="005D3B62"/>
    <w:rsid w:val="005D480B"/>
    <w:rsid w:val="005D6A56"/>
    <w:rsid w:val="005D6EC4"/>
    <w:rsid w:val="005D760A"/>
    <w:rsid w:val="005E3343"/>
    <w:rsid w:val="005E6696"/>
    <w:rsid w:val="005E78CC"/>
    <w:rsid w:val="005F4C88"/>
    <w:rsid w:val="00600089"/>
    <w:rsid w:val="006056EA"/>
    <w:rsid w:val="0061225F"/>
    <w:rsid w:val="006141C4"/>
    <w:rsid w:val="00617389"/>
    <w:rsid w:val="0063102E"/>
    <w:rsid w:val="006338C0"/>
    <w:rsid w:val="0064060B"/>
    <w:rsid w:val="0064294F"/>
    <w:rsid w:val="00642F00"/>
    <w:rsid w:val="00656E0E"/>
    <w:rsid w:val="0066159E"/>
    <w:rsid w:val="00664326"/>
    <w:rsid w:val="00667A01"/>
    <w:rsid w:val="006812DF"/>
    <w:rsid w:val="006833CA"/>
    <w:rsid w:val="006B56D3"/>
    <w:rsid w:val="006C7497"/>
    <w:rsid w:val="006C779B"/>
    <w:rsid w:val="006D25E8"/>
    <w:rsid w:val="006D39D3"/>
    <w:rsid w:val="006D5190"/>
    <w:rsid w:val="006E13FB"/>
    <w:rsid w:val="006E21DF"/>
    <w:rsid w:val="007015C2"/>
    <w:rsid w:val="00701AB5"/>
    <w:rsid w:val="00713E65"/>
    <w:rsid w:val="00721C46"/>
    <w:rsid w:val="007236BE"/>
    <w:rsid w:val="007241A4"/>
    <w:rsid w:val="00731618"/>
    <w:rsid w:val="007422C3"/>
    <w:rsid w:val="007663A8"/>
    <w:rsid w:val="007673D4"/>
    <w:rsid w:val="007725ED"/>
    <w:rsid w:val="00781EBD"/>
    <w:rsid w:val="007828F9"/>
    <w:rsid w:val="00785256"/>
    <w:rsid w:val="00795AB6"/>
    <w:rsid w:val="007B1174"/>
    <w:rsid w:val="007B6F68"/>
    <w:rsid w:val="007C1390"/>
    <w:rsid w:val="007C359C"/>
    <w:rsid w:val="007D356F"/>
    <w:rsid w:val="007D5F81"/>
    <w:rsid w:val="007D6989"/>
    <w:rsid w:val="007E04A8"/>
    <w:rsid w:val="007E0FB0"/>
    <w:rsid w:val="007F08AA"/>
    <w:rsid w:val="007F3B75"/>
    <w:rsid w:val="00805E24"/>
    <w:rsid w:val="00806175"/>
    <w:rsid w:val="00814303"/>
    <w:rsid w:val="00816D66"/>
    <w:rsid w:val="00834BAB"/>
    <w:rsid w:val="008402A1"/>
    <w:rsid w:val="008413BC"/>
    <w:rsid w:val="00843025"/>
    <w:rsid w:val="0085779F"/>
    <w:rsid w:val="008579A7"/>
    <w:rsid w:val="00862F6E"/>
    <w:rsid w:val="008676FA"/>
    <w:rsid w:val="00873554"/>
    <w:rsid w:val="00881C28"/>
    <w:rsid w:val="00884364"/>
    <w:rsid w:val="00885C74"/>
    <w:rsid w:val="00895760"/>
    <w:rsid w:val="008A17EB"/>
    <w:rsid w:val="008B37A7"/>
    <w:rsid w:val="008B60D2"/>
    <w:rsid w:val="008B7FC8"/>
    <w:rsid w:val="008C267F"/>
    <w:rsid w:val="008C2EB9"/>
    <w:rsid w:val="008C351C"/>
    <w:rsid w:val="008C7CD4"/>
    <w:rsid w:val="008D394F"/>
    <w:rsid w:val="008D7347"/>
    <w:rsid w:val="008D7949"/>
    <w:rsid w:val="008F4FE3"/>
    <w:rsid w:val="008F5B10"/>
    <w:rsid w:val="00903A11"/>
    <w:rsid w:val="00905278"/>
    <w:rsid w:val="00905C0B"/>
    <w:rsid w:val="00912DB9"/>
    <w:rsid w:val="0092374B"/>
    <w:rsid w:val="00932CA1"/>
    <w:rsid w:val="00942539"/>
    <w:rsid w:val="009448EA"/>
    <w:rsid w:val="00951A5A"/>
    <w:rsid w:val="00961F6C"/>
    <w:rsid w:val="00976846"/>
    <w:rsid w:val="0098125C"/>
    <w:rsid w:val="0099070B"/>
    <w:rsid w:val="009942B5"/>
    <w:rsid w:val="009A6438"/>
    <w:rsid w:val="009B0D74"/>
    <w:rsid w:val="009B1B79"/>
    <w:rsid w:val="009B20C3"/>
    <w:rsid w:val="009B308B"/>
    <w:rsid w:val="009C6F0D"/>
    <w:rsid w:val="009D07E5"/>
    <w:rsid w:val="009D46F5"/>
    <w:rsid w:val="009E1D06"/>
    <w:rsid w:val="009E2937"/>
    <w:rsid w:val="00A014B3"/>
    <w:rsid w:val="00A149A5"/>
    <w:rsid w:val="00A16603"/>
    <w:rsid w:val="00A16BA6"/>
    <w:rsid w:val="00A25EF3"/>
    <w:rsid w:val="00A32B0B"/>
    <w:rsid w:val="00A33FCB"/>
    <w:rsid w:val="00A438B4"/>
    <w:rsid w:val="00A51AB0"/>
    <w:rsid w:val="00A63DC4"/>
    <w:rsid w:val="00A761DF"/>
    <w:rsid w:val="00A76DCD"/>
    <w:rsid w:val="00A83442"/>
    <w:rsid w:val="00A83580"/>
    <w:rsid w:val="00A90FBD"/>
    <w:rsid w:val="00A92D74"/>
    <w:rsid w:val="00AB2582"/>
    <w:rsid w:val="00AB3242"/>
    <w:rsid w:val="00AB3778"/>
    <w:rsid w:val="00AC2245"/>
    <w:rsid w:val="00AC59C7"/>
    <w:rsid w:val="00AD36EB"/>
    <w:rsid w:val="00AD6CD9"/>
    <w:rsid w:val="00AE199D"/>
    <w:rsid w:val="00AE32FE"/>
    <w:rsid w:val="00AE4DED"/>
    <w:rsid w:val="00AF0CBA"/>
    <w:rsid w:val="00B0762E"/>
    <w:rsid w:val="00B10D48"/>
    <w:rsid w:val="00B150F4"/>
    <w:rsid w:val="00B16040"/>
    <w:rsid w:val="00B246CB"/>
    <w:rsid w:val="00B25339"/>
    <w:rsid w:val="00B267CE"/>
    <w:rsid w:val="00B44D82"/>
    <w:rsid w:val="00B451A2"/>
    <w:rsid w:val="00B531F3"/>
    <w:rsid w:val="00B717D8"/>
    <w:rsid w:val="00B72483"/>
    <w:rsid w:val="00B846BC"/>
    <w:rsid w:val="00B968C1"/>
    <w:rsid w:val="00B971B4"/>
    <w:rsid w:val="00BA3A17"/>
    <w:rsid w:val="00BA445D"/>
    <w:rsid w:val="00BA5A55"/>
    <w:rsid w:val="00BB20A5"/>
    <w:rsid w:val="00BB713F"/>
    <w:rsid w:val="00BC113D"/>
    <w:rsid w:val="00BD0930"/>
    <w:rsid w:val="00BD1239"/>
    <w:rsid w:val="00BD13F5"/>
    <w:rsid w:val="00BD3810"/>
    <w:rsid w:val="00BD52DF"/>
    <w:rsid w:val="00BD561C"/>
    <w:rsid w:val="00BE54CB"/>
    <w:rsid w:val="00BE704E"/>
    <w:rsid w:val="00BF4763"/>
    <w:rsid w:val="00BF7733"/>
    <w:rsid w:val="00C10A88"/>
    <w:rsid w:val="00C10D91"/>
    <w:rsid w:val="00C10DA4"/>
    <w:rsid w:val="00C14A13"/>
    <w:rsid w:val="00C23A8A"/>
    <w:rsid w:val="00C3634E"/>
    <w:rsid w:val="00C51EAB"/>
    <w:rsid w:val="00C52F29"/>
    <w:rsid w:val="00C77AD2"/>
    <w:rsid w:val="00C835FD"/>
    <w:rsid w:val="00C87367"/>
    <w:rsid w:val="00C94946"/>
    <w:rsid w:val="00C9572F"/>
    <w:rsid w:val="00C965D7"/>
    <w:rsid w:val="00CA080C"/>
    <w:rsid w:val="00CC1776"/>
    <w:rsid w:val="00CC3E5F"/>
    <w:rsid w:val="00CC6F58"/>
    <w:rsid w:val="00CD66C7"/>
    <w:rsid w:val="00CE50BB"/>
    <w:rsid w:val="00CE5416"/>
    <w:rsid w:val="00CE702E"/>
    <w:rsid w:val="00CF1B0F"/>
    <w:rsid w:val="00D24381"/>
    <w:rsid w:val="00D24390"/>
    <w:rsid w:val="00D25D14"/>
    <w:rsid w:val="00D263A8"/>
    <w:rsid w:val="00D27B9D"/>
    <w:rsid w:val="00D47EBB"/>
    <w:rsid w:val="00D50D7F"/>
    <w:rsid w:val="00D71E0C"/>
    <w:rsid w:val="00D72C74"/>
    <w:rsid w:val="00D813F2"/>
    <w:rsid w:val="00D8529A"/>
    <w:rsid w:val="00D93F34"/>
    <w:rsid w:val="00D946D9"/>
    <w:rsid w:val="00DA7727"/>
    <w:rsid w:val="00DA7930"/>
    <w:rsid w:val="00DB3644"/>
    <w:rsid w:val="00DB4A00"/>
    <w:rsid w:val="00DC29E6"/>
    <w:rsid w:val="00DC7AAB"/>
    <w:rsid w:val="00DD0D75"/>
    <w:rsid w:val="00DD4D0E"/>
    <w:rsid w:val="00DD5130"/>
    <w:rsid w:val="00DE082A"/>
    <w:rsid w:val="00DE0DAE"/>
    <w:rsid w:val="00E02CD4"/>
    <w:rsid w:val="00E16E6A"/>
    <w:rsid w:val="00E2265B"/>
    <w:rsid w:val="00E25BDB"/>
    <w:rsid w:val="00E35D2E"/>
    <w:rsid w:val="00E3617C"/>
    <w:rsid w:val="00E36191"/>
    <w:rsid w:val="00E42500"/>
    <w:rsid w:val="00E50B84"/>
    <w:rsid w:val="00E54100"/>
    <w:rsid w:val="00E54F01"/>
    <w:rsid w:val="00E56138"/>
    <w:rsid w:val="00E64877"/>
    <w:rsid w:val="00E65CA5"/>
    <w:rsid w:val="00E714D5"/>
    <w:rsid w:val="00E726E8"/>
    <w:rsid w:val="00E762A3"/>
    <w:rsid w:val="00E85ADF"/>
    <w:rsid w:val="00E952DF"/>
    <w:rsid w:val="00EA7A10"/>
    <w:rsid w:val="00EB00EF"/>
    <w:rsid w:val="00EB0749"/>
    <w:rsid w:val="00EB5305"/>
    <w:rsid w:val="00EC7935"/>
    <w:rsid w:val="00EE30E2"/>
    <w:rsid w:val="00EF01E8"/>
    <w:rsid w:val="00EF5EAC"/>
    <w:rsid w:val="00F10D68"/>
    <w:rsid w:val="00F15178"/>
    <w:rsid w:val="00F16940"/>
    <w:rsid w:val="00F244B8"/>
    <w:rsid w:val="00F323D2"/>
    <w:rsid w:val="00F37F07"/>
    <w:rsid w:val="00F40F81"/>
    <w:rsid w:val="00F4463F"/>
    <w:rsid w:val="00F45F21"/>
    <w:rsid w:val="00F50390"/>
    <w:rsid w:val="00F64899"/>
    <w:rsid w:val="00F66ABC"/>
    <w:rsid w:val="00F83179"/>
    <w:rsid w:val="00F850C9"/>
    <w:rsid w:val="00F921D2"/>
    <w:rsid w:val="00F966A3"/>
    <w:rsid w:val="00FA350F"/>
    <w:rsid w:val="00FC0A86"/>
    <w:rsid w:val="00FC46E5"/>
    <w:rsid w:val="00FC4F0D"/>
    <w:rsid w:val="00FE301F"/>
    <w:rsid w:val="00FF1E71"/>
    <w:rsid w:val="00FF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977A"/>
  <w15:chartTrackingRefBased/>
  <w15:docId w15:val="{6E983FF9-2B15-4D09-9D89-111E0812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0F81"/>
    <w:pPr>
      <w:jc w:val="both"/>
    </w:pPr>
    <w:rPr>
      <w:rFonts w:ascii="Times New Roman" w:hAnsi="Times New Roman"/>
    </w:rPr>
  </w:style>
  <w:style w:type="paragraph" w:styleId="Heading1">
    <w:name w:val="heading 1"/>
    <w:basedOn w:val="Normal"/>
    <w:next w:val="Normal"/>
    <w:link w:val="Heading1Char"/>
    <w:uiPriority w:val="9"/>
    <w:qFormat/>
    <w:rsid w:val="009D07E5"/>
    <w:pPr>
      <w:keepNext/>
      <w:keepLines/>
      <w:spacing w:after="120"/>
      <w:outlineLvl w:val="0"/>
    </w:pPr>
    <w:rPr>
      <w:rFonts w:eastAsiaTheme="majorEastAsia" w:cstheme="majorBidi"/>
      <w:b/>
      <w:color w:val="2E74B5" w:themeColor="accent1" w:themeShade="BF"/>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912DB9"/>
    <w:pPr>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12DB9"/>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597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43B"/>
    <w:rPr>
      <w:rFonts w:ascii="Times New Roman" w:hAnsi="Times New Roman"/>
    </w:rPr>
  </w:style>
  <w:style w:type="paragraph" w:styleId="Footer">
    <w:name w:val="footer"/>
    <w:basedOn w:val="Normal"/>
    <w:link w:val="FooterChar"/>
    <w:uiPriority w:val="99"/>
    <w:unhideWhenUsed/>
    <w:rsid w:val="00597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43B"/>
    <w:rPr>
      <w:rFonts w:ascii="Times New Roman" w:hAnsi="Times New Roman"/>
    </w:rPr>
  </w:style>
  <w:style w:type="paragraph" w:styleId="BalloonText">
    <w:name w:val="Balloon Text"/>
    <w:basedOn w:val="Normal"/>
    <w:link w:val="BalloonTextChar"/>
    <w:uiPriority w:val="99"/>
    <w:semiHidden/>
    <w:unhideWhenUsed/>
    <w:rsid w:val="00A76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DF"/>
    <w:rPr>
      <w:rFonts w:ascii="Segoe UI" w:hAnsi="Segoe UI" w:cs="Segoe UI"/>
      <w:sz w:val="18"/>
      <w:szCs w:val="18"/>
    </w:rPr>
  </w:style>
  <w:style w:type="character" w:customStyle="1" w:styleId="Heading1Char">
    <w:name w:val="Heading 1 Char"/>
    <w:basedOn w:val="DefaultParagraphFont"/>
    <w:link w:val="Heading1"/>
    <w:uiPriority w:val="9"/>
    <w:rsid w:val="009D07E5"/>
    <w:rPr>
      <w:rFonts w:ascii="Times New Roman" w:eastAsiaTheme="majorEastAsia" w:hAnsi="Times New Roman" w:cstheme="majorBidi"/>
      <w:b/>
      <w:color w:val="2E74B5" w:themeColor="accent1" w:themeShade="BF"/>
      <w:sz w:val="28"/>
      <w:szCs w:val="32"/>
    </w:rPr>
  </w:style>
  <w:style w:type="paragraph" w:styleId="HTMLPreformatted">
    <w:name w:val="HTML Preformatted"/>
    <w:basedOn w:val="Normal"/>
    <w:link w:val="HTMLPreformattedChar"/>
    <w:uiPriority w:val="99"/>
    <w:unhideWhenUsed/>
    <w:rsid w:val="00F9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66A3"/>
    <w:rPr>
      <w:rFonts w:ascii="Courier New" w:eastAsia="Times New Roman" w:hAnsi="Courier New" w:cs="Courier New"/>
      <w:sz w:val="20"/>
      <w:szCs w:val="20"/>
    </w:rPr>
  </w:style>
  <w:style w:type="character" w:customStyle="1" w:styleId="gcwxi2kcpkb">
    <w:name w:val="gcwxi2kcpkb"/>
    <w:basedOn w:val="DefaultParagraphFont"/>
    <w:rsid w:val="00F966A3"/>
  </w:style>
  <w:style w:type="character" w:customStyle="1" w:styleId="gcwxi2kcpjb">
    <w:name w:val="gcwxi2kcpjb"/>
    <w:basedOn w:val="DefaultParagraphFont"/>
    <w:rsid w:val="00F9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341">
      <w:bodyDiv w:val="1"/>
      <w:marLeft w:val="0"/>
      <w:marRight w:val="0"/>
      <w:marTop w:val="0"/>
      <w:marBottom w:val="0"/>
      <w:divBdr>
        <w:top w:val="none" w:sz="0" w:space="0" w:color="auto"/>
        <w:left w:val="none" w:sz="0" w:space="0" w:color="auto"/>
        <w:bottom w:val="none" w:sz="0" w:space="0" w:color="auto"/>
        <w:right w:val="none" w:sz="0" w:space="0" w:color="auto"/>
      </w:divBdr>
    </w:div>
    <w:div w:id="79184109">
      <w:bodyDiv w:val="1"/>
      <w:marLeft w:val="0"/>
      <w:marRight w:val="0"/>
      <w:marTop w:val="0"/>
      <w:marBottom w:val="0"/>
      <w:divBdr>
        <w:top w:val="none" w:sz="0" w:space="0" w:color="auto"/>
        <w:left w:val="none" w:sz="0" w:space="0" w:color="auto"/>
        <w:bottom w:val="none" w:sz="0" w:space="0" w:color="auto"/>
        <w:right w:val="none" w:sz="0" w:space="0" w:color="auto"/>
      </w:divBdr>
    </w:div>
    <w:div w:id="157234351">
      <w:bodyDiv w:val="1"/>
      <w:marLeft w:val="0"/>
      <w:marRight w:val="0"/>
      <w:marTop w:val="0"/>
      <w:marBottom w:val="0"/>
      <w:divBdr>
        <w:top w:val="none" w:sz="0" w:space="0" w:color="auto"/>
        <w:left w:val="none" w:sz="0" w:space="0" w:color="auto"/>
        <w:bottom w:val="none" w:sz="0" w:space="0" w:color="auto"/>
        <w:right w:val="none" w:sz="0" w:space="0" w:color="auto"/>
      </w:divBdr>
    </w:div>
    <w:div w:id="269050861">
      <w:bodyDiv w:val="1"/>
      <w:marLeft w:val="0"/>
      <w:marRight w:val="0"/>
      <w:marTop w:val="0"/>
      <w:marBottom w:val="0"/>
      <w:divBdr>
        <w:top w:val="none" w:sz="0" w:space="0" w:color="auto"/>
        <w:left w:val="none" w:sz="0" w:space="0" w:color="auto"/>
        <w:bottom w:val="none" w:sz="0" w:space="0" w:color="auto"/>
        <w:right w:val="none" w:sz="0" w:space="0" w:color="auto"/>
      </w:divBdr>
    </w:div>
    <w:div w:id="282274955">
      <w:bodyDiv w:val="1"/>
      <w:marLeft w:val="0"/>
      <w:marRight w:val="0"/>
      <w:marTop w:val="0"/>
      <w:marBottom w:val="0"/>
      <w:divBdr>
        <w:top w:val="none" w:sz="0" w:space="0" w:color="auto"/>
        <w:left w:val="none" w:sz="0" w:space="0" w:color="auto"/>
        <w:bottom w:val="none" w:sz="0" w:space="0" w:color="auto"/>
        <w:right w:val="none" w:sz="0" w:space="0" w:color="auto"/>
      </w:divBdr>
    </w:div>
    <w:div w:id="415594542">
      <w:bodyDiv w:val="1"/>
      <w:marLeft w:val="0"/>
      <w:marRight w:val="0"/>
      <w:marTop w:val="0"/>
      <w:marBottom w:val="0"/>
      <w:divBdr>
        <w:top w:val="none" w:sz="0" w:space="0" w:color="auto"/>
        <w:left w:val="none" w:sz="0" w:space="0" w:color="auto"/>
        <w:bottom w:val="none" w:sz="0" w:space="0" w:color="auto"/>
        <w:right w:val="none" w:sz="0" w:space="0" w:color="auto"/>
      </w:divBdr>
    </w:div>
    <w:div w:id="455107283">
      <w:bodyDiv w:val="1"/>
      <w:marLeft w:val="0"/>
      <w:marRight w:val="0"/>
      <w:marTop w:val="0"/>
      <w:marBottom w:val="0"/>
      <w:divBdr>
        <w:top w:val="none" w:sz="0" w:space="0" w:color="auto"/>
        <w:left w:val="none" w:sz="0" w:space="0" w:color="auto"/>
        <w:bottom w:val="none" w:sz="0" w:space="0" w:color="auto"/>
        <w:right w:val="none" w:sz="0" w:space="0" w:color="auto"/>
      </w:divBdr>
    </w:div>
    <w:div w:id="773550385">
      <w:bodyDiv w:val="1"/>
      <w:marLeft w:val="0"/>
      <w:marRight w:val="0"/>
      <w:marTop w:val="0"/>
      <w:marBottom w:val="0"/>
      <w:divBdr>
        <w:top w:val="none" w:sz="0" w:space="0" w:color="auto"/>
        <w:left w:val="none" w:sz="0" w:space="0" w:color="auto"/>
        <w:bottom w:val="none" w:sz="0" w:space="0" w:color="auto"/>
        <w:right w:val="none" w:sz="0" w:space="0" w:color="auto"/>
      </w:divBdr>
    </w:div>
    <w:div w:id="791285276">
      <w:bodyDiv w:val="1"/>
      <w:marLeft w:val="0"/>
      <w:marRight w:val="0"/>
      <w:marTop w:val="0"/>
      <w:marBottom w:val="0"/>
      <w:divBdr>
        <w:top w:val="none" w:sz="0" w:space="0" w:color="auto"/>
        <w:left w:val="none" w:sz="0" w:space="0" w:color="auto"/>
        <w:bottom w:val="none" w:sz="0" w:space="0" w:color="auto"/>
        <w:right w:val="none" w:sz="0" w:space="0" w:color="auto"/>
      </w:divBdr>
    </w:div>
    <w:div w:id="987517494">
      <w:bodyDiv w:val="1"/>
      <w:marLeft w:val="0"/>
      <w:marRight w:val="0"/>
      <w:marTop w:val="0"/>
      <w:marBottom w:val="0"/>
      <w:divBdr>
        <w:top w:val="none" w:sz="0" w:space="0" w:color="auto"/>
        <w:left w:val="none" w:sz="0" w:space="0" w:color="auto"/>
        <w:bottom w:val="none" w:sz="0" w:space="0" w:color="auto"/>
        <w:right w:val="none" w:sz="0" w:space="0" w:color="auto"/>
      </w:divBdr>
    </w:div>
    <w:div w:id="1031538524">
      <w:bodyDiv w:val="1"/>
      <w:marLeft w:val="0"/>
      <w:marRight w:val="0"/>
      <w:marTop w:val="0"/>
      <w:marBottom w:val="0"/>
      <w:divBdr>
        <w:top w:val="none" w:sz="0" w:space="0" w:color="auto"/>
        <w:left w:val="none" w:sz="0" w:space="0" w:color="auto"/>
        <w:bottom w:val="none" w:sz="0" w:space="0" w:color="auto"/>
        <w:right w:val="none" w:sz="0" w:space="0" w:color="auto"/>
      </w:divBdr>
    </w:div>
    <w:div w:id="1063018576">
      <w:bodyDiv w:val="1"/>
      <w:marLeft w:val="0"/>
      <w:marRight w:val="0"/>
      <w:marTop w:val="0"/>
      <w:marBottom w:val="0"/>
      <w:divBdr>
        <w:top w:val="none" w:sz="0" w:space="0" w:color="auto"/>
        <w:left w:val="none" w:sz="0" w:space="0" w:color="auto"/>
        <w:bottom w:val="none" w:sz="0" w:space="0" w:color="auto"/>
        <w:right w:val="none" w:sz="0" w:space="0" w:color="auto"/>
      </w:divBdr>
    </w:div>
    <w:div w:id="1072116114">
      <w:bodyDiv w:val="1"/>
      <w:marLeft w:val="0"/>
      <w:marRight w:val="0"/>
      <w:marTop w:val="0"/>
      <w:marBottom w:val="0"/>
      <w:divBdr>
        <w:top w:val="none" w:sz="0" w:space="0" w:color="auto"/>
        <w:left w:val="none" w:sz="0" w:space="0" w:color="auto"/>
        <w:bottom w:val="none" w:sz="0" w:space="0" w:color="auto"/>
        <w:right w:val="none" w:sz="0" w:space="0" w:color="auto"/>
      </w:divBdr>
    </w:div>
    <w:div w:id="1139418451">
      <w:bodyDiv w:val="1"/>
      <w:marLeft w:val="0"/>
      <w:marRight w:val="0"/>
      <w:marTop w:val="0"/>
      <w:marBottom w:val="0"/>
      <w:divBdr>
        <w:top w:val="none" w:sz="0" w:space="0" w:color="auto"/>
        <w:left w:val="none" w:sz="0" w:space="0" w:color="auto"/>
        <w:bottom w:val="none" w:sz="0" w:space="0" w:color="auto"/>
        <w:right w:val="none" w:sz="0" w:space="0" w:color="auto"/>
      </w:divBdr>
    </w:div>
    <w:div w:id="1276477041">
      <w:bodyDiv w:val="1"/>
      <w:marLeft w:val="0"/>
      <w:marRight w:val="0"/>
      <w:marTop w:val="0"/>
      <w:marBottom w:val="0"/>
      <w:divBdr>
        <w:top w:val="none" w:sz="0" w:space="0" w:color="auto"/>
        <w:left w:val="none" w:sz="0" w:space="0" w:color="auto"/>
        <w:bottom w:val="none" w:sz="0" w:space="0" w:color="auto"/>
        <w:right w:val="none" w:sz="0" w:space="0" w:color="auto"/>
      </w:divBdr>
    </w:div>
    <w:div w:id="1617833930">
      <w:bodyDiv w:val="1"/>
      <w:marLeft w:val="0"/>
      <w:marRight w:val="0"/>
      <w:marTop w:val="0"/>
      <w:marBottom w:val="0"/>
      <w:divBdr>
        <w:top w:val="none" w:sz="0" w:space="0" w:color="auto"/>
        <w:left w:val="none" w:sz="0" w:space="0" w:color="auto"/>
        <w:bottom w:val="none" w:sz="0" w:space="0" w:color="auto"/>
        <w:right w:val="none" w:sz="0" w:space="0" w:color="auto"/>
      </w:divBdr>
    </w:div>
    <w:div w:id="1626352414">
      <w:bodyDiv w:val="1"/>
      <w:marLeft w:val="0"/>
      <w:marRight w:val="0"/>
      <w:marTop w:val="0"/>
      <w:marBottom w:val="0"/>
      <w:divBdr>
        <w:top w:val="none" w:sz="0" w:space="0" w:color="auto"/>
        <w:left w:val="none" w:sz="0" w:space="0" w:color="auto"/>
        <w:bottom w:val="none" w:sz="0" w:space="0" w:color="auto"/>
        <w:right w:val="none" w:sz="0" w:space="0" w:color="auto"/>
      </w:divBdr>
    </w:div>
    <w:div w:id="1750075947">
      <w:bodyDiv w:val="1"/>
      <w:marLeft w:val="0"/>
      <w:marRight w:val="0"/>
      <w:marTop w:val="0"/>
      <w:marBottom w:val="0"/>
      <w:divBdr>
        <w:top w:val="none" w:sz="0" w:space="0" w:color="auto"/>
        <w:left w:val="none" w:sz="0" w:space="0" w:color="auto"/>
        <w:bottom w:val="none" w:sz="0" w:space="0" w:color="auto"/>
        <w:right w:val="none" w:sz="0" w:space="0" w:color="auto"/>
      </w:divBdr>
    </w:div>
    <w:div w:id="1756904089">
      <w:bodyDiv w:val="1"/>
      <w:marLeft w:val="0"/>
      <w:marRight w:val="0"/>
      <w:marTop w:val="0"/>
      <w:marBottom w:val="0"/>
      <w:divBdr>
        <w:top w:val="none" w:sz="0" w:space="0" w:color="auto"/>
        <w:left w:val="none" w:sz="0" w:space="0" w:color="auto"/>
        <w:bottom w:val="none" w:sz="0" w:space="0" w:color="auto"/>
        <w:right w:val="none" w:sz="0" w:space="0" w:color="auto"/>
      </w:divBdr>
    </w:div>
    <w:div w:id="1967659917">
      <w:bodyDiv w:val="1"/>
      <w:marLeft w:val="0"/>
      <w:marRight w:val="0"/>
      <w:marTop w:val="0"/>
      <w:marBottom w:val="0"/>
      <w:divBdr>
        <w:top w:val="none" w:sz="0" w:space="0" w:color="auto"/>
        <w:left w:val="none" w:sz="0" w:space="0" w:color="auto"/>
        <w:bottom w:val="none" w:sz="0" w:space="0" w:color="auto"/>
        <w:right w:val="none" w:sz="0" w:space="0" w:color="auto"/>
      </w:divBdr>
    </w:div>
    <w:div w:id="2030325528">
      <w:bodyDiv w:val="1"/>
      <w:marLeft w:val="0"/>
      <w:marRight w:val="0"/>
      <w:marTop w:val="0"/>
      <w:marBottom w:val="0"/>
      <w:divBdr>
        <w:top w:val="none" w:sz="0" w:space="0" w:color="auto"/>
        <w:left w:val="none" w:sz="0" w:space="0" w:color="auto"/>
        <w:bottom w:val="none" w:sz="0" w:space="0" w:color="auto"/>
        <w:right w:val="none" w:sz="0" w:space="0" w:color="auto"/>
      </w:divBdr>
    </w:div>
    <w:div w:id="2103065427">
      <w:bodyDiv w:val="1"/>
      <w:marLeft w:val="0"/>
      <w:marRight w:val="0"/>
      <w:marTop w:val="0"/>
      <w:marBottom w:val="0"/>
      <w:divBdr>
        <w:top w:val="none" w:sz="0" w:space="0" w:color="auto"/>
        <w:left w:val="none" w:sz="0" w:space="0" w:color="auto"/>
        <w:bottom w:val="none" w:sz="0" w:space="0" w:color="auto"/>
        <w:right w:val="none" w:sz="0" w:space="0" w:color="auto"/>
      </w:divBdr>
    </w:div>
    <w:div w:id="2127461006">
      <w:bodyDiv w:val="1"/>
      <w:marLeft w:val="0"/>
      <w:marRight w:val="0"/>
      <w:marTop w:val="0"/>
      <w:marBottom w:val="0"/>
      <w:divBdr>
        <w:top w:val="none" w:sz="0" w:space="0" w:color="auto"/>
        <w:left w:val="none" w:sz="0" w:space="0" w:color="auto"/>
        <w:bottom w:val="none" w:sz="0" w:space="0" w:color="auto"/>
        <w:right w:val="none" w:sz="0" w:space="0" w:color="auto"/>
      </w:divBdr>
    </w:div>
    <w:div w:id="21322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oleObject" Target="embeddings/oleObject26.bin"/><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oleObject" Target="embeddings/oleObject31.bin"/><Relationship Id="rId7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png"/><Relationship Id="rId65" Type="http://schemas.openxmlformats.org/officeDocument/2006/relationships/image" Target="media/image30.wmf"/><Relationship Id="rId73" Type="http://schemas.openxmlformats.org/officeDocument/2006/relationships/oleObject" Target="embeddings/oleObject3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30.bin"/><Relationship Id="rId69" Type="http://schemas.openxmlformats.org/officeDocument/2006/relationships/image" Target="media/image32.png"/><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4.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4.wmf"/><Relationship Id="rId62" Type="http://schemas.openxmlformats.org/officeDocument/2006/relationships/oleObject" Target="embeddings/oleObject29.bin"/><Relationship Id="rId70" Type="http://schemas.openxmlformats.org/officeDocument/2006/relationships/image" Target="media/image33.wmf"/><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2647</TotalTime>
  <Pages>7</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Hui</dc:creator>
  <cp:keywords/>
  <dc:description/>
  <cp:lastModifiedBy>Hui Lyu</cp:lastModifiedBy>
  <cp:revision>361</cp:revision>
  <cp:lastPrinted>2016-09-13T01:06:00Z</cp:lastPrinted>
  <dcterms:created xsi:type="dcterms:W3CDTF">2016-09-05T04:09:00Z</dcterms:created>
  <dcterms:modified xsi:type="dcterms:W3CDTF">2016-10-04T03:07:00Z</dcterms:modified>
</cp:coreProperties>
</file>