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信托制世界金句使用规范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02_核心金句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本规范用于约束金句在产品、剧情、AI导师、成长世界、公众号文章和短视频中的使用方式。金句不是装饰文案，而是世界观、治理逻辑和成长路径的压缩表达。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一、总原则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每一个核心模块必须有至少一句核心金句，用于明确该模块的认知锚点。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金句必须服务产品逻辑，不能为了押韵、煽情或营销感而牺牲准确性。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金句优先表达结构性判断，不制造业主、物业、业委会、社区之间的对立。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金句可以轻微改写，但不得改变产品圣经中的世界观、成长路径、商业模式和金句体系。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二、新手村使用规则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新手村每一关至少出现一个核心金句。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第一关优先使用“表面上是人与人的矛盾，本质上是治理结构的问题。”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第二关优先使用“换人解决不了问题，换机制才能解决问题。”或“主体变化，不等于机制变化。”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第三关优先使用“治理结构决定治理结果。”和“信托制的本质，是重构治理结构，重建社区信任。”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授勋仪式可使用“先看见问题，再寻找答案，最后进入未来。”作为收束。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三、AI副本使用规则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AI副本结束必须输出一句金句，作为训练结果的认知总结。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AI导师小金的金句应保持克制、温和、专业，避免居高临下。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AI副本中的金句应与评分维度绑定，例如沟通、治理、专业、共情、透明度。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AI导师不得使用夸张营销语、命令式训斥语或制造对立的表达。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四、成长地图使用规则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成长地图节点允许出现成长金句，用于说明用户正在获得什么能力。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金牌管家成长世界优先使用“成长不是刷课，而是把治理问题转化为能力。”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试炼完成、AI训练完成、晋级仪式都应使用能力导向金句，而不是课程完成式表达。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五、内容传播使用规则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公众号文章优先使用金句结构：开头提出金句，中段展开案例，结尾回到治理结构。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短视频口播优先使用金句收口，最后一句应留下可记忆的判断。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标题可使用金句，但必须避免标题党和情绪对立。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对外传播优先使用世界观金句、治理金句和信托制金句。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六、禁用规则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不得使用金句证明某一方天然有错。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不得把信托制包装成万能解法。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不得使用“坏物业”“坏业主”“不作为社区”等对立化表达。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不得用视觉稿中的临时文案覆盖产品圣经金句。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初版｜创建人：Codex｜创建日期：2026-05-31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