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 w:eastAsia="PingFang SC"/>
          <w:b/>
          <w:color w:val="123B32"/>
          <w:sz w:val="52"/>
        </w:rPr>
        <w:t>信托制世界核心金句库</w:t>
      </w:r>
    </w:p>
    <w:p>
      <w:pPr>
        <w:spacing w:before="0" w:after="280" w:line="276" w:lineRule="auto"/>
      </w:pPr>
      <w:r>
        <w:rPr>
          <w:rFonts w:ascii="Arial" w:hAnsi="Arial" w:eastAsia="PingFang SC"/>
          <w:color w:val="60776F"/>
          <w:sz w:val="22"/>
        </w:rPr>
        <w:t>产品圣经 / 02_核心金句 / V1.0 初版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本文件用于统一信托制世界、新手村、金牌管家成长世界、AI导师、内容传播和商业表达中的核心语言。所有新增模块应优先从本库选择金句，再根据场景做轻微改写。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一、世界观金句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金句内容</w:t>
            </w:r>
          </w:p>
        </w:tc>
        <w:tc>
          <w:tcPr>
            <w:tcW w:type="dxa" w:w="2592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适用场景</w:t>
            </w:r>
          </w:p>
        </w:tc>
        <w:tc>
          <w:tcPr>
            <w:tcW w:type="dxa" w:w="3312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使用说明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信任的流失，始于规则的缺失。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世界观总述、新手村开场、旧世界困境总结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用于解释旧世界矛盾的根源，避免把问题归因于某个坏人。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表面上是人与人的矛盾，本质上是治理结构的问题。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第一关结论、公众号标题、短视频收口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用于完成从情绪冲突到结构问题的认知转折。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换人解决不了问题，换机制才能解决问题。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治理议事厅、一直换物业讨论、信托之门前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用于指出反复更换主体的局限。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主体变化，不等于机制变化。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国企接管讨论、城市案例分析、政策解读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用于提醒用户不要把治理希望单纯寄托在主体身份上。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真正要改变的不是某一个人，而是治理结构本身。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新手村第二关终章、产品介绍、线下宣讲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用于建立信托制世界的底层判断。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二、信托制金句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金句内容</w:t>
            </w:r>
          </w:p>
        </w:tc>
        <w:tc>
          <w:tcPr>
            <w:tcW w:type="dxa" w:w="2592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适用场景</w:t>
            </w:r>
          </w:p>
        </w:tc>
        <w:tc>
          <w:tcPr>
            <w:tcW w:type="dxa" w:w="3312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使用说明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信托制的本质，是重构治理结构，重建社区信任。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第三关高潮揭晓、产品圣经、品牌主张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作为信托制世界的核心定义句，应优先使用。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信托制不是换一种说法收费，而是把资金、服务、监督放回规则里。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业主沟通、信托制宣讲副本、FAQ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用于回应用户对信托制的第一层质疑。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公开透明不是姿态，而是运行机制。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资金公开栏、制度工具库、公开模板说明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用于强调公开不是一次性公示，而是持续机制。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资金使用有规则，预算执行有依据，过程公开可查询。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资金治理模块、物业说明会、业委会沟通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用于准确表达信托制资金治理逻辑。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结构顺了，人的努力才更有价值。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信托之城总结、项目复盘、团队培训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用于连接制度设计与人的努力。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三、治理金句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金句内容</w:t>
            </w:r>
          </w:p>
        </w:tc>
        <w:tc>
          <w:tcPr>
            <w:tcW w:type="dxa" w:w="2592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适用场景</w:t>
            </w:r>
          </w:p>
        </w:tc>
        <w:tc>
          <w:tcPr>
            <w:tcW w:type="dxa" w:w="3312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使用说明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治理结构决定治理结果。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第三关高潮揭晓、治理案例分析、研究文章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用于作为案例复盘或视频观点的开头。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各归其位，各担其责。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信托制模型说明、角色关系图、社区议事厅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用于说明业主、物业、业委会、社区的边界。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权责清晰，责任明确。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制度模板、合同说明、治理工具包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用于强调制度落地的基本要求。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规则先于人，制度保障运行。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成长世界、项目启动会、制度中心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用于防止产品叙事过度依赖个人英雄。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信任来源于公开，和谐来源于规则。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透明实践、公开说明会、短视频结尾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用于形成温暖、可信的治理收束。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四、物业职业成长金句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金句内容</w:t>
            </w:r>
          </w:p>
        </w:tc>
        <w:tc>
          <w:tcPr>
            <w:tcW w:type="dxa" w:w="2592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适用场景</w:t>
            </w:r>
          </w:p>
        </w:tc>
        <w:tc>
          <w:tcPr>
            <w:tcW w:type="dxa" w:w="3312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使用说明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真正的物业人，不只是处理事务，更是在重建信任。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物业项目经理成长路径、一星管家学院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用于提升物业职业尊严与使命感。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管家不是裁判员，而是专业服务执行者。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管家定位试炼、AI训练副本、项目经理培训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用于校正物业人在信托制中的角色定位。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会做服务，是基础；会解释规则，才是成长。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AI沟通训练、业主说明会、二星能力设计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用于引导从服务执行走向规则沟通。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收费率背后，不只是钱的问题，也是信任的问题。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收费率提升、业主沟通、经营成长路径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用于把经营问题回到信任结构。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让服务被看见，让规则被理解，让信任被积累。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物业职业成长宣传、成长档案、项目复盘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用于表达物业人成长的长期目标。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五、金牌管家成长金句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金句内容</w:t>
            </w:r>
          </w:p>
        </w:tc>
        <w:tc>
          <w:tcPr>
            <w:tcW w:type="dxa" w:w="2592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适用场景</w:t>
            </w:r>
          </w:p>
        </w:tc>
        <w:tc>
          <w:tcPr>
            <w:tcW w:type="dxa" w:w="3312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使用说明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金牌管家不是学出来的，是在真实问题中长出来的。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成长世界首页、一星学院、成长地图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用于反课程化表达，强调实战成长。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每解决一个真实问题，都是一次能力升级。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AI副本系统、成长档案、试炼完成页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用于连接问题、训练、能力与档案。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成长不是刷课，而是把治理问题转化为能力。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成长世界定位、产品介绍、商业模型说明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用于避免在线教育平台气质。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能力先被训练，身份才被授予。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晋级仪式、认证体系、成长计划说明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用于区分成长和认证。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从正式冒险者到金牌管家，走的是解决问题的路。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成长地图、新手村通关、成长世界导流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用于连接新手村和金牌管家成长世界。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六、新手村专属金句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金句内容</w:t>
            </w:r>
          </w:p>
        </w:tc>
        <w:tc>
          <w:tcPr>
            <w:tcW w:type="dxa" w:w="2592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适用场景</w:t>
            </w:r>
          </w:p>
        </w:tc>
        <w:tc>
          <w:tcPr>
            <w:tcW w:type="dxa" w:w="3312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使用说明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这里没有坏人，只有被旧结构困住的人。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新手村开场、旧世界街区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用于建立结构性叙事，避免制造对立。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所有人都在努力，却似乎没有人真正满意。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旧世界开场、NPC对话前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用于呈现旧世界的共同困境。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用报纸裱糊一间四处透风的破房子，挡不住结构里的风。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治理议事厅终章、信托之门前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用于强化旧结构内修补的无力感。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先看见问题，再寻找答案，最后进入未来。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新手村入口、剧情引导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用于说明新手村体验路径。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信托制不是未来，它已经在越来越多的社区发生。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第三关验证材料、全国实践地图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用于完成从想象到真实实践的证明。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七、AI导师小金常用金句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金句内容</w:t>
            </w:r>
          </w:p>
        </w:tc>
        <w:tc>
          <w:tcPr>
            <w:tcW w:type="dxa" w:w="2592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适用场景</w:t>
            </w:r>
          </w:p>
        </w:tc>
        <w:tc>
          <w:tcPr>
            <w:tcW w:type="dxa" w:w="3312"/>
            <w:shd w:fill="EAF3EF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1"/>
              </w:rPr>
              <w:t>使用说明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别急着判断谁错了，先看看结构把谁放错了位置。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AI导师引导、矛盾分析副本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用于帮助用户从指责转向结构分析。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把情绪翻译成问题，把问题拆成规则。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AI副本评分、业主沟通训练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用于训练沟通与问题拆解能力。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好答案不是更响亮，而是更清楚。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AI口播反馈、宣讲训练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用于评价用户表达是否清晰克制。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先回应感受，再解释规则。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业主沟通副本、业委会沟通副本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用于AI训练中的沟通顺序提示。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20"/>
              </w:rPr>
              <w:t>你不是来证明自己懂，而是来帮助大家看见规则。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AI导师总结、项目启动会副本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20"/>
              </w:rPr>
              <w:t>用于防止用户把沟通变成说教。</w:t>
            </w:r>
          </w:p>
        </w:tc>
      </w:tr>
    </w:tbl>
    <w:p/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金句数量统计：共 35 条。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版本：V1.0 初版｜创建人：Codex｜创建日期：2026-05-31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