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PingFang SC"/>
          <w:b/>
          <w:color w:val="123B32"/>
          <w:sz w:val="52"/>
        </w:rPr>
        <w:t>金牌管家成长世界｜UI设计规范</w:t>
      </w:r>
    </w:p>
    <w:p>
      <w:pPr>
        <w:spacing w:before="0" w:after="280" w:line="276" w:lineRule="auto"/>
      </w:pPr>
      <w:r>
        <w:rPr>
          <w:rFonts w:ascii="Arial" w:hAnsi="Arial" w:eastAsia="PingFang SC"/>
          <w:color w:val="60776F"/>
          <w:sz w:val="22"/>
        </w:rPr>
        <w:t>产品圣经 / 06_视觉规范 / V1.0 初版</w:t>
      </w:r>
    </w:p>
    <w:p>
      <w:pPr>
        <w:spacing w:before="0" w:after="160" w:line="276" w:lineRule="auto"/>
      </w:pPr>
      <w:r>
        <w:rPr>
          <w:rFonts w:ascii="Arial" w:hAnsi="Arial" w:eastAsia="PingFang SC"/>
          <w:color w:val="1F2F2A"/>
          <w:sz w:val="22"/>
        </w:rPr>
        <w:t>本文件用于统一金牌管家成长世界与信托制世界相关页面的视觉原则。视觉目标不是制造科技炫光，也不是复制在线教育平台，而是在“世界感、成长感、学习效率、专业可信”之间建立稳定秩序。</w:t>
      </w:r>
    </w:p>
    <w:p>
      <w:pPr>
        <w:spacing w:before="360" w:after="120" w:line="276" w:lineRule="auto"/>
      </w:pPr>
      <w:r>
        <w:rPr>
          <w:rFonts w:ascii="Arial" w:hAnsi="Arial" w:eastAsia="PingFang SC"/>
          <w:b/>
          <w:color w:val="123B32"/>
          <w:sz w:val="40"/>
        </w:rPr>
        <w:t>一、总视觉原则</w:t>
      </w:r>
    </w:p>
    <w:p>
      <w:pPr>
        <w:spacing w:before="0" w:after="80" w:line="276" w:lineRule="auto"/>
        <w:ind w:left="360" w:hanging="173"/>
      </w:pPr>
      <w:r>
        <w:rPr>
          <w:rFonts w:ascii="Arial" w:hAnsi="Arial" w:eastAsia="PingFang SC"/>
          <w:color w:val="1F2F2A"/>
          <w:sz w:val="22"/>
        </w:rPr>
        <w:t>• 专业可信：视觉必须服务信托制、治理、成长和职业身份，不做廉价科技感。</w:t>
      </w:r>
    </w:p>
    <w:p>
      <w:pPr>
        <w:spacing w:before="0" w:after="80" w:line="276" w:lineRule="auto"/>
        <w:ind w:left="360" w:hanging="173"/>
      </w:pPr>
      <w:r>
        <w:rPr>
          <w:rFonts w:ascii="Arial" w:hAnsi="Arial" w:eastAsia="PingFang SC"/>
          <w:color w:val="1F2F2A"/>
          <w:sz w:val="22"/>
        </w:rPr>
        <w:t>• 温暖克制：用高级灰调青绿色、留白、柔和层次和清晰排版建立信任。</w:t>
      </w:r>
    </w:p>
    <w:p>
      <w:pPr>
        <w:spacing w:before="0" w:after="80" w:line="276" w:lineRule="auto"/>
        <w:ind w:left="360" w:hanging="173"/>
      </w:pPr>
      <w:r>
        <w:rPr>
          <w:rFonts w:ascii="Arial" w:hAnsi="Arial" w:eastAsia="PingFang SC"/>
          <w:color w:val="1F2F2A"/>
          <w:sz w:val="22"/>
        </w:rPr>
        <w:t>• 成长世界感：成长地图、AI副本、认证大厅允许更强的未来感和仪式感。</w:t>
      </w:r>
    </w:p>
    <w:p>
      <w:pPr>
        <w:spacing w:before="0" w:after="80" w:line="276" w:lineRule="auto"/>
        <w:ind w:left="360" w:hanging="173"/>
      </w:pPr>
      <w:r>
        <w:rPr>
          <w:rFonts w:ascii="Arial" w:hAnsi="Arial" w:eastAsia="PingFang SC"/>
          <w:color w:val="1F2F2A"/>
          <w:sz w:val="22"/>
        </w:rPr>
        <w:t>• 学习工作效率：长时间阅读、视频学习、案例分析必须降低视觉负担。</w:t>
      </w:r>
    </w:p>
    <w:p>
      <w:pPr>
        <w:spacing w:before="0" w:after="80" w:line="276" w:lineRule="auto"/>
        <w:ind w:left="360" w:hanging="173"/>
      </w:pPr>
      <w:r>
        <w:rPr>
          <w:rFonts w:ascii="Arial" w:hAnsi="Arial" w:eastAsia="PingFang SC"/>
          <w:color w:val="1F2F2A"/>
          <w:sz w:val="22"/>
        </w:rPr>
        <w:t>• 深浅结合：深色负责激发，浅色负责承载。两者必须分工明确。</w:t>
      </w:r>
    </w:p>
    <w:p>
      <w:pPr>
        <w:spacing w:before="360" w:after="120" w:line="276" w:lineRule="auto"/>
      </w:pPr>
      <w:r>
        <w:rPr>
          <w:rFonts w:ascii="Arial" w:hAnsi="Arial" w:eastAsia="PingFang SC"/>
          <w:b/>
          <w:color w:val="123B32"/>
          <w:sz w:val="40"/>
        </w:rPr>
        <w:t>二、深浅结合原则（核心原则）</w:t>
      </w:r>
    </w:p>
    <w:p>
      <w:pPr>
        <w:spacing w:before="0" w:after="160" w:line="276" w:lineRule="auto"/>
      </w:pPr>
      <w:r>
        <w:rPr>
          <w:rFonts w:ascii="Arial" w:hAnsi="Arial" w:eastAsia="PingFang SC"/>
          <w:color w:val="1F2F2A"/>
          <w:sz w:val="22"/>
        </w:rPr>
        <w:t>金牌管家成长世界不采用全站单一色彩系统。深色与浅色分别承担不同产品任务：深色用于世界层与身份激发，浅色用于学习、阅读、分析和长时间工作。</w:t>
      </w:r>
    </w:p>
    <w:tbl>
      <w:tblPr>
        <w:tblW w:type="auto" w:w="0"/>
        <w:jc w:val="center"/>
        <w:tblLook w:firstColumn="1" w:firstRow="1" w:lastColumn="0" w:lastRow="0" w:noHBand="0" w:noVBand="1" w:val="04A0"/>
      </w:tblPr>
      <w:tblGrid>
        <w:gridCol w:w="2340"/>
        <w:gridCol w:w="2340"/>
        <w:gridCol w:w="2340"/>
        <w:gridCol w:w="2340"/>
      </w:tblGrid>
      <w:tr>
        <w:tc>
          <w:tcPr>
            <w:tcW w:type="dxa" w:w="2340"/>
            <w:shd w:fill="EAF3EF"/>
            <w:vAlign w:val="center"/>
          </w:tcPr>
          <w:p>
            <w:pPr>
              <w:spacing w:before="0" w:after="0" w:line="264" w:lineRule="auto"/>
            </w:pPr>
            <w:r/>
            <w:r>
              <w:rPr>
                <w:rFonts w:ascii="Arial" w:hAnsi="Arial" w:eastAsia="PingFang SC"/>
                <w:b/>
                <w:color w:val="123B32"/>
                <w:sz w:val="18"/>
              </w:rPr>
              <w:t>视觉层</w:t>
            </w:r>
          </w:p>
        </w:tc>
        <w:tc>
          <w:tcPr>
            <w:tcW w:type="dxa" w:w="2340"/>
            <w:shd w:fill="EAF3EF"/>
            <w:vAlign w:val="center"/>
          </w:tcPr>
          <w:p>
            <w:pPr>
              <w:spacing w:before="0" w:after="0" w:line="264" w:lineRule="auto"/>
            </w:pPr>
            <w:r/>
            <w:r>
              <w:rPr>
                <w:rFonts w:ascii="Arial" w:hAnsi="Arial" w:eastAsia="PingFang SC"/>
                <w:b/>
                <w:color w:val="123B32"/>
                <w:sz w:val="18"/>
              </w:rPr>
              <w:t>适用页面</w:t>
            </w:r>
          </w:p>
        </w:tc>
        <w:tc>
          <w:tcPr>
            <w:tcW w:type="dxa" w:w="2340"/>
            <w:shd w:fill="EAF3EF"/>
            <w:vAlign w:val="center"/>
          </w:tcPr>
          <w:p>
            <w:pPr>
              <w:spacing w:before="0" w:after="0" w:line="264" w:lineRule="auto"/>
            </w:pPr>
            <w:r/>
            <w:r>
              <w:rPr>
                <w:rFonts w:ascii="Arial" w:hAnsi="Arial" w:eastAsia="PingFang SC"/>
                <w:b/>
                <w:color w:val="123B32"/>
                <w:sz w:val="18"/>
              </w:rPr>
              <w:t>使用目的</w:t>
            </w:r>
          </w:p>
        </w:tc>
        <w:tc>
          <w:tcPr>
            <w:tcW w:type="dxa" w:w="2340"/>
            <w:shd w:fill="EAF3EF"/>
            <w:vAlign w:val="center"/>
          </w:tcPr>
          <w:p>
            <w:pPr>
              <w:spacing w:before="0" w:after="0" w:line="264" w:lineRule="auto"/>
            </w:pPr>
            <w:r/>
            <w:r>
              <w:rPr>
                <w:rFonts w:ascii="Arial" w:hAnsi="Arial" w:eastAsia="PingFang SC"/>
                <w:b/>
                <w:color w:val="123B32"/>
                <w:sz w:val="18"/>
              </w:rPr>
              <w:t>设计要点</w:t>
            </w:r>
          </w:p>
        </w:tc>
      </w:tr>
      <w:tr>
        <w:tc>
          <w:tcPr>
            <w:tcW w:type="dxa" w:w="2340"/>
            <w:vAlign w:val="center"/>
          </w:tcPr>
          <w:p>
            <w:pPr>
              <w:spacing w:before="0" w:after="0" w:line="264" w:lineRule="auto"/>
            </w:pPr>
            <w:r/>
            <w:r>
              <w:rPr>
                <w:rFonts w:ascii="Arial" w:hAnsi="Arial" w:eastAsia="PingFang SC"/>
                <w:b/>
                <w:color w:val="1F2F2A"/>
                <w:sz w:val="17"/>
              </w:rPr>
              <w:t>深色世界层</w:t>
            </w:r>
          </w:p>
        </w:tc>
        <w:tc>
          <w:tcPr>
            <w:tcW w:type="dxa" w:w="2340"/>
            <w:vAlign w:val="center"/>
          </w:tcPr>
          <w:p>
            <w:pPr>
              <w:spacing w:before="0" w:after="0" w:line="264" w:lineRule="auto"/>
            </w:pPr>
            <w:r/>
            <w:r>
              <w:rPr>
                <w:rFonts w:ascii="Arial" w:hAnsi="Arial" w:eastAsia="PingFang SC"/>
                <w:b w:val="0"/>
                <w:color w:val="1F2F2A"/>
                <w:sz w:val="17"/>
              </w:rPr>
              <w:t>首页、成长地图、AI副本大厅、AI导师、认证大厅、荣誉体系</w:t>
            </w:r>
          </w:p>
        </w:tc>
        <w:tc>
          <w:tcPr>
            <w:tcW w:type="dxa" w:w="2340"/>
            <w:vAlign w:val="center"/>
          </w:tcPr>
          <w:p>
            <w:pPr>
              <w:spacing w:before="0" w:after="0" w:line="264" w:lineRule="auto"/>
            </w:pPr>
            <w:r/>
            <w:r>
              <w:rPr>
                <w:rFonts w:ascii="Arial" w:hAnsi="Arial" w:eastAsia="PingFang SC"/>
                <w:b w:val="0"/>
                <w:color w:val="1F2F2A"/>
                <w:sz w:val="17"/>
              </w:rPr>
              <w:t>激发成长欲望、塑造职业身份、营造未来感、科技感与仪式感</w:t>
            </w:r>
          </w:p>
        </w:tc>
        <w:tc>
          <w:tcPr>
            <w:tcW w:type="dxa" w:w="2340"/>
            <w:vAlign w:val="center"/>
          </w:tcPr>
          <w:p>
            <w:pPr>
              <w:spacing w:before="0" w:after="0" w:line="264" w:lineRule="auto"/>
            </w:pPr>
            <w:r/>
            <w:r>
              <w:rPr>
                <w:rFonts w:ascii="Arial" w:hAnsi="Arial" w:eastAsia="PingFang SC"/>
                <w:b w:val="0"/>
                <w:color w:val="1F2F2A"/>
                <w:sz w:val="17"/>
              </w:rPr>
              <w:t>使用深青绿色、柔和渐变、磨砂玻璃、低强度光感；避免赛博朋克、强发光和大屏驾驶舱感。</w:t>
            </w:r>
          </w:p>
        </w:tc>
      </w:tr>
      <w:tr>
        <w:tc>
          <w:tcPr>
            <w:tcW w:type="dxa" w:w="2340"/>
            <w:vAlign w:val="center"/>
          </w:tcPr>
          <w:p>
            <w:pPr>
              <w:spacing w:before="0" w:after="0" w:line="264" w:lineRule="auto"/>
            </w:pPr>
            <w:r/>
            <w:r>
              <w:rPr>
                <w:rFonts w:ascii="Arial" w:hAnsi="Arial" w:eastAsia="PingFang SC"/>
                <w:b/>
                <w:color w:val="1F2F2A"/>
                <w:sz w:val="17"/>
              </w:rPr>
              <w:t>浅色学习工作层</w:t>
            </w:r>
          </w:p>
        </w:tc>
        <w:tc>
          <w:tcPr>
            <w:tcW w:type="dxa" w:w="2340"/>
            <w:vAlign w:val="center"/>
          </w:tcPr>
          <w:p>
            <w:pPr>
              <w:spacing w:before="0" w:after="0" w:line="264" w:lineRule="auto"/>
            </w:pPr>
            <w:r/>
            <w:r>
              <w:rPr>
                <w:rFonts w:ascii="Arial" w:hAnsi="Arial" w:eastAsia="PingFang SC"/>
                <w:b w:val="0"/>
                <w:color w:val="1F2F2A"/>
                <w:sz w:val="17"/>
              </w:rPr>
              <w:t>课程详情页、视频学习页、图文阅读页、案例分析页、成长档案页、数据分析页</w:t>
            </w:r>
          </w:p>
        </w:tc>
        <w:tc>
          <w:tcPr>
            <w:tcW w:type="dxa" w:w="2340"/>
            <w:vAlign w:val="center"/>
          </w:tcPr>
          <w:p>
            <w:pPr>
              <w:spacing w:before="0" w:after="0" w:line="264" w:lineRule="auto"/>
            </w:pPr>
            <w:r/>
            <w:r>
              <w:rPr>
                <w:rFonts w:ascii="Arial" w:hAnsi="Arial" w:eastAsia="PingFang SC"/>
                <w:b w:val="0"/>
                <w:color w:val="1F2F2A"/>
                <w:sz w:val="17"/>
              </w:rPr>
              <w:t>提升阅读效率、降低视觉疲劳、增强长时间学习体验</w:t>
            </w:r>
          </w:p>
        </w:tc>
        <w:tc>
          <w:tcPr>
            <w:tcW w:type="dxa" w:w="2340"/>
            <w:vAlign w:val="center"/>
          </w:tcPr>
          <w:p>
            <w:pPr>
              <w:spacing w:before="0" w:after="0" w:line="264" w:lineRule="auto"/>
            </w:pPr>
            <w:r/>
            <w:r>
              <w:rPr>
                <w:rFonts w:ascii="Arial" w:hAnsi="Arial" w:eastAsia="PingFang SC"/>
                <w:b w:val="0"/>
                <w:color w:val="1F2F2A"/>
                <w:sz w:val="17"/>
              </w:rPr>
              <w:t>使用白色、暖灰、浅青绿、清晰文本层级；避免把阅读页做成科技展厅。</w:t>
            </w:r>
          </w:p>
        </w:tc>
      </w:tr>
    </w:tbl>
    <w:p/>
    <w:p>
      <w:pPr>
        <w:spacing w:before="360" w:after="120" w:line="276" w:lineRule="auto"/>
      </w:pPr>
      <w:r>
        <w:rPr>
          <w:rFonts w:ascii="Arial" w:hAnsi="Arial" w:eastAsia="PingFang SC"/>
          <w:b/>
          <w:color w:val="123B32"/>
          <w:sz w:val="40"/>
        </w:rPr>
        <w:t>三、深色世界层使用规范</w:t>
      </w:r>
    </w:p>
    <w:p>
      <w:pPr>
        <w:spacing w:before="0" w:after="160" w:line="276" w:lineRule="auto"/>
      </w:pPr>
      <w:r>
        <w:rPr>
          <w:rFonts w:ascii="Arial" w:hAnsi="Arial" w:eastAsia="PingFang SC"/>
          <w:color w:val="1F2F2A"/>
          <w:sz w:val="22"/>
        </w:rPr>
        <w:t>深色世界层用于让用户感到“我正在进入一个成长世界”。它适合用于高情绪、高身份、高仪式感的页面，而不是用于长时间阅读。</w:t>
      </w:r>
    </w:p>
    <w:p>
      <w:pPr>
        <w:spacing w:before="0" w:after="80" w:line="276" w:lineRule="auto"/>
        <w:ind w:left="360" w:hanging="173"/>
      </w:pPr>
      <w:r>
        <w:rPr>
          <w:rFonts w:ascii="Arial" w:hAnsi="Arial" w:eastAsia="PingFang SC"/>
          <w:color w:val="1F2F2A"/>
          <w:sz w:val="22"/>
        </w:rPr>
        <w:t>• 首页：用于建立金牌管家成长世界的第一印象。</w:t>
      </w:r>
    </w:p>
    <w:p>
      <w:pPr>
        <w:spacing w:before="0" w:after="80" w:line="276" w:lineRule="auto"/>
        <w:ind w:left="360" w:hanging="173"/>
      </w:pPr>
      <w:r>
        <w:rPr>
          <w:rFonts w:ascii="Arial" w:hAnsi="Arial" w:eastAsia="PingFang SC"/>
          <w:color w:val="1F2F2A"/>
          <w:sz w:val="22"/>
        </w:rPr>
        <w:t>• 成长地图：用于表现一星到五星的成长道路、锁定区域、已点亮节点。</w:t>
      </w:r>
    </w:p>
    <w:p>
      <w:pPr>
        <w:spacing w:before="0" w:after="80" w:line="276" w:lineRule="auto"/>
        <w:ind w:left="360" w:hanging="173"/>
      </w:pPr>
      <w:r>
        <w:rPr>
          <w:rFonts w:ascii="Arial" w:hAnsi="Arial" w:eastAsia="PingFang SC"/>
          <w:color w:val="1F2F2A"/>
          <w:sz w:val="22"/>
        </w:rPr>
        <w:t>• AI副本大厅：用于呈现训练场、任务入口、AI导师与副本状态。</w:t>
      </w:r>
    </w:p>
    <w:p>
      <w:pPr>
        <w:spacing w:before="0" w:after="80" w:line="276" w:lineRule="auto"/>
        <w:ind w:left="360" w:hanging="173"/>
      </w:pPr>
      <w:r>
        <w:rPr>
          <w:rFonts w:ascii="Arial" w:hAnsi="Arial" w:eastAsia="PingFang SC"/>
          <w:color w:val="1F2F2A"/>
          <w:sz w:val="22"/>
        </w:rPr>
        <w:t>• AI导师：用于强化陪伴、引导、训练和反馈的存在感。</w:t>
      </w:r>
    </w:p>
    <w:p>
      <w:pPr>
        <w:spacing w:before="0" w:after="80" w:line="276" w:lineRule="auto"/>
        <w:ind w:left="360" w:hanging="173"/>
      </w:pPr>
      <w:r>
        <w:rPr>
          <w:rFonts w:ascii="Arial" w:hAnsi="Arial" w:eastAsia="PingFang SC"/>
          <w:color w:val="1F2F2A"/>
          <w:sz w:val="22"/>
        </w:rPr>
        <w:t>• 认证大厅：用于形成晋级、答辩、认证与身份授予的仪式感。</w:t>
      </w:r>
    </w:p>
    <w:p>
      <w:pPr>
        <w:spacing w:before="0" w:after="80" w:line="276" w:lineRule="auto"/>
        <w:ind w:left="360" w:hanging="173"/>
      </w:pPr>
      <w:r>
        <w:rPr>
          <w:rFonts w:ascii="Arial" w:hAnsi="Arial" w:eastAsia="PingFang SC"/>
          <w:color w:val="1F2F2A"/>
          <w:sz w:val="22"/>
        </w:rPr>
        <w:t>• 荣誉体系：用于呈现徽章、身份、成就、导师资格和行业荣誉。</w:t>
      </w:r>
    </w:p>
    <w:p>
      <w:pPr>
        <w:spacing w:before="360" w:after="120" w:line="276" w:lineRule="auto"/>
      </w:pPr>
      <w:r>
        <w:rPr>
          <w:rFonts w:ascii="Arial" w:hAnsi="Arial" w:eastAsia="PingFang SC"/>
          <w:b/>
          <w:color w:val="123B32"/>
          <w:sz w:val="40"/>
        </w:rPr>
        <w:t>四、浅色学习工作层使用规范</w:t>
      </w:r>
    </w:p>
    <w:p>
      <w:pPr>
        <w:spacing w:before="0" w:after="160" w:line="276" w:lineRule="auto"/>
      </w:pPr>
      <w:r>
        <w:rPr>
          <w:rFonts w:ascii="Arial" w:hAnsi="Arial" w:eastAsia="PingFang SC"/>
          <w:color w:val="1F2F2A"/>
          <w:sz w:val="22"/>
        </w:rPr>
        <w:t>浅色学习工作层用于让用户安心阅读、理解、分析和整理材料。它服务效率，不承担强烈世界观演出。</w:t>
      </w:r>
    </w:p>
    <w:p>
      <w:pPr>
        <w:spacing w:before="0" w:after="80" w:line="276" w:lineRule="auto"/>
        <w:ind w:left="360" w:hanging="173"/>
      </w:pPr>
      <w:r>
        <w:rPr>
          <w:rFonts w:ascii="Arial" w:hAnsi="Arial" w:eastAsia="PingFang SC"/>
          <w:color w:val="1F2F2A"/>
          <w:sz w:val="22"/>
        </w:rPr>
        <w:t>• 课程详情页：强调结构清晰、学习目标、任务说明。</w:t>
      </w:r>
    </w:p>
    <w:p>
      <w:pPr>
        <w:spacing w:before="0" w:after="80" w:line="276" w:lineRule="auto"/>
        <w:ind w:left="360" w:hanging="173"/>
      </w:pPr>
      <w:r>
        <w:rPr>
          <w:rFonts w:ascii="Arial" w:hAnsi="Arial" w:eastAsia="PingFang SC"/>
          <w:color w:val="1F2F2A"/>
          <w:sz w:val="22"/>
        </w:rPr>
        <w:t>• 视频学习页：保持内容聚焦，降低背景干扰。</w:t>
      </w:r>
    </w:p>
    <w:p>
      <w:pPr>
        <w:spacing w:before="0" w:after="80" w:line="276" w:lineRule="auto"/>
        <w:ind w:left="360" w:hanging="173"/>
      </w:pPr>
      <w:r>
        <w:rPr>
          <w:rFonts w:ascii="Arial" w:hAnsi="Arial" w:eastAsia="PingFang SC"/>
          <w:color w:val="1F2F2A"/>
          <w:sz w:val="22"/>
        </w:rPr>
        <w:t>• 图文阅读页：以排版、行距、层级和留白提升阅读体验。</w:t>
      </w:r>
    </w:p>
    <w:p>
      <w:pPr>
        <w:spacing w:before="0" w:after="80" w:line="276" w:lineRule="auto"/>
        <w:ind w:left="360" w:hanging="173"/>
      </w:pPr>
      <w:r>
        <w:rPr>
          <w:rFonts w:ascii="Arial" w:hAnsi="Arial" w:eastAsia="PingFang SC"/>
          <w:color w:val="1F2F2A"/>
          <w:sz w:val="22"/>
        </w:rPr>
        <w:t>• 案例分析页：方便对比问题、路径、动作和结果。</w:t>
      </w:r>
    </w:p>
    <w:p>
      <w:pPr>
        <w:spacing w:before="0" w:after="80" w:line="276" w:lineRule="auto"/>
        <w:ind w:left="360" w:hanging="173"/>
      </w:pPr>
      <w:r>
        <w:rPr>
          <w:rFonts w:ascii="Arial" w:hAnsi="Arial" w:eastAsia="PingFang SC"/>
          <w:color w:val="1F2F2A"/>
          <w:sz w:val="22"/>
        </w:rPr>
        <w:t>• 成长档案页：清晰展示身份、能力、成长值、副本记录和认证状态。</w:t>
      </w:r>
    </w:p>
    <w:p>
      <w:pPr>
        <w:spacing w:before="0" w:after="80" w:line="276" w:lineRule="auto"/>
        <w:ind w:left="360" w:hanging="173"/>
      </w:pPr>
      <w:r>
        <w:rPr>
          <w:rFonts w:ascii="Arial" w:hAnsi="Arial" w:eastAsia="PingFang SC"/>
          <w:color w:val="1F2F2A"/>
          <w:sz w:val="22"/>
        </w:rPr>
        <w:t>• 数据分析页：用于项目复盘、训练结果、能力曲线，不做炫技图表。</w:t>
      </w:r>
    </w:p>
    <w:p>
      <w:pPr>
        <w:spacing w:before="360" w:after="120" w:line="276" w:lineRule="auto"/>
      </w:pPr>
      <w:r>
        <w:rPr>
          <w:rFonts w:ascii="Arial" w:hAnsi="Arial" w:eastAsia="PingFang SC"/>
          <w:b/>
          <w:color w:val="123B32"/>
          <w:sz w:val="40"/>
        </w:rPr>
        <w:t>五、禁止事项</w:t>
      </w:r>
    </w:p>
    <w:p>
      <w:pPr>
        <w:spacing w:before="0" w:after="80" w:line="276" w:lineRule="auto"/>
        <w:ind w:left="360" w:hanging="173"/>
      </w:pPr>
      <w:r>
        <w:rPr>
          <w:rFonts w:ascii="Arial" w:hAnsi="Arial" w:eastAsia="PingFang SC"/>
          <w:color w:val="1F2F2A"/>
          <w:sz w:val="22"/>
        </w:rPr>
        <w:t>• 禁止全站深色。深色过多会让信托制世界变成科技展厅或网络安全后台。</w:t>
      </w:r>
    </w:p>
    <w:p>
      <w:pPr>
        <w:spacing w:before="0" w:after="80" w:line="276" w:lineRule="auto"/>
        <w:ind w:left="360" w:hanging="173"/>
      </w:pPr>
      <w:r>
        <w:rPr>
          <w:rFonts w:ascii="Arial" w:hAnsi="Arial" w:eastAsia="PingFang SC"/>
          <w:color w:val="1F2F2A"/>
          <w:sz w:val="22"/>
        </w:rPr>
        <w:t>• 禁止全站浅色。浅色过多会削弱成长世界、AI副本和认证体系的身份感。</w:t>
      </w:r>
    </w:p>
    <w:p>
      <w:pPr>
        <w:spacing w:before="0" w:after="80" w:line="276" w:lineRule="auto"/>
        <w:ind w:left="360" w:hanging="173"/>
      </w:pPr>
      <w:r>
        <w:rPr>
          <w:rFonts w:ascii="Arial" w:hAnsi="Arial" w:eastAsia="PingFang SC"/>
          <w:color w:val="1F2F2A"/>
          <w:sz w:val="22"/>
        </w:rPr>
        <w:t>• 禁止将学习中心设计成科技展厅。学习与阅读场景必须优先保证效率。</w:t>
      </w:r>
    </w:p>
    <w:p>
      <w:pPr>
        <w:spacing w:before="0" w:after="80" w:line="276" w:lineRule="auto"/>
        <w:ind w:left="360" w:hanging="173"/>
      </w:pPr>
      <w:r>
        <w:rPr>
          <w:rFonts w:ascii="Arial" w:hAnsi="Arial" w:eastAsia="PingFang SC"/>
          <w:color w:val="1F2F2A"/>
          <w:sz w:val="22"/>
        </w:rPr>
        <w:t>• 禁止将成长地图设计成传统课程平台。成长地图不是课程列表，而是能力成长路径。</w:t>
      </w:r>
    </w:p>
    <w:p>
      <w:pPr>
        <w:spacing w:before="0" w:after="80" w:line="276" w:lineRule="auto"/>
        <w:ind w:left="360" w:hanging="173"/>
      </w:pPr>
      <w:r>
        <w:rPr>
          <w:rFonts w:ascii="Arial" w:hAnsi="Arial" w:eastAsia="PingFang SC"/>
          <w:color w:val="1F2F2A"/>
          <w:sz w:val="22"/>
        </w:rPr>
        <w:t>• 禁止蓝色科技风、强发光边框、赛博朋克、驾驶舱大屏、在线教育商城风。</w:t>
      </w:r>
    </w:p>
    <w:p>
      <w:pPr>
        <w:spacing w:before="360" w:after="120" w:line="276" w:lineRule="auto"/>
      </w:pPr>
      <w:r>
        <w:rPr>
          <w:rFonts w:ascii="Arial" w:hAnsi="Arial" w:eastAsia="PingFang SC"/>
          <w:b/>
          <w:color w:val="123B32"/>
          <w:sz w:val="40"/>
        </w:rPr>
        <w:t>六、后续扩展占位</w:t>
      </w:r>
    </w:p>
    <w:p>
      <w:pPr>
        <w:spacing w:before="0" w:after="160" w:line="276" w:lineRule="auto"/>
      </w:pPr>
      <w:r>
        <w:rPr>
          <w:rFonts w:ascii="Arial" w:hAnsi="Arial" w:eastAsia="PingFang SC"/>
          <w:color w:val="1F2F2A"/>
          <w:sz w:val="22"/>
        </w:rPr>
        <w:t>后续可继续扩展颜色 token、组件状态、移动端规范、AI副本视觉规范、徽章体系与认证大厅视觉规范。但所有扩展必须遵守深浅结合原则：深色用于世界层和仪式感，浅色用于学习工作层和长时间内容承载。</w:t>
      </w:r>
    </w:p>
    <w:p>
      <w:pPr>
        <w:spacing w:before="0" w:after="160" w:line="276" w:lineRule="auto"/>
      </w:pPr>
      <w:r>
        <w:rPr>
          <w:rFonts w:ascii="Arial" w:hAnsi="Arial" w:eastAsia="PingFang SC"/>
          <w:color w:val="1F2F2A"/>
          <w:sz w:val="22"/>
        </w:rPr>
        <w:t>版本：V1.0 初版｜创建人：Codex｜创建时间：2026-05-31 17:00:34 CST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