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PingFang SC"/>
          <w:b/>
          <w:color w:val="123B32"/>
          <w:sz w:val="52"/>
        </w:rPr>
        <w:t>禁止事项</w:t>
      </w:r>
    </w:p>
    <w:p>
      <w:pPr>
        <w:spacing w:before="0" w:after="280" w:line="276" w:lineRule="auto"/>
      </w:pPr>
      <w:r>
        <w:rPr>
          <w:rFonts w:ascii="Arial" w:hAnsi="Arial" w:eastAsia="PingFang SC"/>
          <w:color w:val="60776F"/>
          <w:sz w:val="22"/>
        </w:rPr>
        <w:t>产品圣经 / 07_项目规则 / V1.0 初版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本文件记录《信托制世界》和《金牌管家成长世界》的明确禁止事项。任何页面、文档、原型、视觉稿和代码实现均不得违反。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一、课程化表达禁止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禁止使用“课程表”作为成长世界核心结构。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禁止使用“购买课程”作为商业表达。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禁止使用“章节目录”作为主要成长路径。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禁止把成长世界做成在线教育平台、知识付费平台或课程商城。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允许表达“一星成长计划”“AI训练副本”“案例副本”“成长档案”“认证机会”。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二、视觉方向禁止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禁止全站深色。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禁止全站浅色。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禁止卡通风。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禁止培训机构风。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禁止廉价科技风。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禁止蓝色科技风、强发光边框、赛博朋克、驾驶舱大屏。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不允许把学习中心做成科技展厅。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不允许把成长地图设计成传统课程平台。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三、产品逻辑禁止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禁止把信托制写成平台强行推销的答案。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禁止把旧世界矛盾归咎于某类坏人。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禁止丑化业主、物业、业委会、社区或街道。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禁止把 AI导师写成替代专家、律师、街道或业委会的决策者。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禁止把认证写成购买后自动获得。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四、资料使用禁止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禁止根据 Notebook 视觉稿修改世界观。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禁止根据 AI生成视觉稿修改成长路径。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禁止根据临时页面效果修改商业模式。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禁止用视觉参考覆盖正式剧本。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禁止用源代码现状反向定义产品圣经。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五、开发行为禁止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禁止未读产品圣经直接开发。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禁止任务未要求时新增页面、路由、依赖或复杂业务系统。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禁止一次性重构、推翻现有结构或生成平行新系统。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禁止修改业务代码时不输出影响范围和回滚方式。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版本：V1.0 初版｜创建人：Codex｜创建时间：2026-05-31 17:03:19 CST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