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PingFang SC"/>
          <w:b/>
          <w:color w:val="153B34"/>
          <w:sz w:val="44"/>
        </w:rPr>
        <w:t>用户转化路径验证 V1.0</w:t>
      </w:r>
    </w:p>
    <w:p>
      <w:pPr>
        <w:jc w:val="center"/>
      </w:pPr>
      <w:r>
        <w:rPr>
          <w:rFonts w:ascii="Arial" w:hAnsi="Arial" w:eastAsia="PingFang SC"/>
          <w:color w:val="5E6F69"/>
          <w:sz w:val="20"/>
        </w:rPr>
        <w:t>验证499、299与继续成长的关键动机、断点和逻辑漏洞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997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依据来源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产品圣经/00_圣经/信托制世界产品圣经_V1.0.docx；开发文档/V1.0产品落地蓝图.docx；开发文档/V1.0页面清单.docx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创建时间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2026-05-31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创建人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Codex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边界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仅验证产品逻辑，不开发功能，不修改代码、页面或路由。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风险等级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低风险</w:t>
            </w:r>
          </w:p>
        </w:tc>
      </w:tr>
    </w:tbl>
    <w:p/>
    <w:p>
      <w:pPr>
        <w:pStyle w:val="Heading1"/>
      </w:pPr>
      <w:r>
        <w:t>一、转化路径检查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转化节点</w:t>
            </w:r>
          </w:p>
        </w:tc>
        <w:tc>
          <w:tcPr>
            <w:tcW w:type="dxa" w:w="166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用户为什么转化</w:t>
            </w:r>
          </w:p>
        </w:tc>
        <w:tc>
          <w:tcPr>
            <w:tcW w:type="dxa" w:w="166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用户心理动机</w:t>
            </w:r>
          </w:p>
        </w:tc>
        <w:tc>
          <w:tcPr>
            <w:tcW w:type="dxa" w:w="166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触点</w:t>
            </w:r>
          </w:p>
        </w:tc>
        <w:tc>
          <w:tcPr>
            <w:tcW w:type="dxa" w:w="166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可能断点</w:t>
            </w:r>
          </w:p>
        </w:tc>
        <w:tc>
          <w:tcPr>
            <w:tcW w:type="dxa" w:w="166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风险等级</w:t>
            </w:r>
          </w:p>
        </w:tc>
      </w:tr>
      <w:tr>
        <w:tc>
          <w:tcPr>
            <w:tcW w:type="dxa" w:w="166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新手村完成 → 继续成长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用户刚完成认知觉醒，获得“信托制正式冒险者”。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希望知道自己下一步能做什么。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成长地图、一星学院预览、AI体验结束页。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若目标分流太像菜单，用户会失去情绪动力。</w:t>
            </w:r>
          </w:p>
        </w:tc>
        <w:tc>
          <w:tcPr>
            <w:tcW w:type="dxa" w:w="1666"/>
            <w:vAlign w:val="center"/>
            <w:shd w:fill="F6E7C7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中</w:t>
            </w:r>
          </w:p>
        </w:tc>
      </w:tr>
      <w:tr>
        <w:tc>
          <w:tcPr>
            <w:tcW w:type="dxa" w:w="166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免费体验 → 499一星成长计划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499对应一星成长路径资格和完整成长体验。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用户已体验新手村与基础AI价值，想把认知变成能力。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成长地图锁定节点、一星学院入口、AI体验结束页。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如果499被表达为课程费，会违背产品圣经并降低转化。</w:t>
            </w:r>
          </w:p>
        </w:tc>
        <w:tc>
          <w:tcPr>
            <w:tcW w:type="dxa" w:w="1666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高</w:t>
            </w:r>
          </w:p>
        </w:tc>
      </w:tr>
      <w:tr>
        <w:tc>
          <w:tcPr>
            <w:tcW w:type="dxa" w:w="166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一星成长 → AI副本训练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AI副本把阅读成长升级为实战成长。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用户需要真实场景训练，而不是只看材料。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试炼完成页、AI导师提示、训练大厅。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若副本像聊天窗口，用户会误解AI导师定位。</w:t>
            </w:r>
          </w:p>
        </w:tc>
        <w:tc>
          <w:tcPr>
            <w:tcW w:type="dxa" w:w="1666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中高</w:t>
            </w:r>
          </w:p>
        </w:tc>
      </w:tr>
      <w:tr>
        <w:tc>
          <w:tcPr>
            <w:tcW w:type="dxa" w:w="166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成长档案 → 299认证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成长档案显示用户已具备认证准备条件。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用户需要正式身份确认和职业成长证明。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成长档案、AI导师总结、晋级仪式页。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若299与499边界不清，会造成购买疑虑。</w:t>
            </w:r>
          </w:p>
        </w:tc>
        <w:tc>
          <w:tcPr>
            <w:tcW w:type="dxa" w:w="1666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高</w:t>
            </w:r>
          </w:p>
        </w:tc>
      </w:tr>
      <w:tr>
        <w:tc>
          <w:tcPr>
            <w:tcW w:type="dxa" w:w="166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一星认证 → 继续二星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获得证书后看到更高成长路径。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用户希望继续成为小项目项目经理。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认证完成页、成长地图、成长档案。</w:t>
            </w:r>
          </w:p>
        </w:tc>
        <w:tc>
          <w:tcPr>
            <w:tcW w:type="dxa" w:w="166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若二星价值不明确，用户完成一星后可能流失。</w:t>
            </w:r>
          </w:p>
        </w:tc>
        <w:tc>
          <w:tcPr>
            <w:tcW w:type="dxa" w:w="1666"/>
            <w:vAlign w:val="center"/>
            <w:shd w:fill="F6E7C7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中</w:t>
            </w:r>
          </w:p>
        </w:tc>
      </w:tr>
    </w:tbl>
    <w:p/>
    <w:p>
      <w:pPr>
        <w:pStyle w:val="Heading1"/>
      </w:pPr>
      <w:r>
        <w:t>二、499成长计划验证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验证结论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断点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用户为什么购买499？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因为用户已通过新手村理解信托制，并希望进入一星成长路径，把认知变成能力。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若页面表达为“买课”，转化逻辑会偏离产品圣经。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499购买什么？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成长资格、成长路径、成长档案、AI训练副本、案例副本、认证机会入口。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若与证书绑定，会与299认证冲突。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499不购买什么？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不包含证书、认证考试、认证徽章。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必须清楚提示，否则后续299会被误解为重复收费。</w:t>
            </w:r>
          </w:p>
        </w:tc>
      </w:tr>
    </w:tbl>
    <w:p/>
    <w:p>
      <w:pPr>
        <w:pStyle w:val="Heading1"/>
      </w:pPr>
      <w:r>
        <w:t>三、299认证验证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验证结论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断点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用户为什么购买299？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用户完成成长任务后，需要正式身份确认、AI答辩、证书、徽章和成长档案认证记录。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若认证中心只像收费页，会削弱信任。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299购买什么？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AI答辩、证书、徽章、认证记录。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必须与499成长计划严格分离。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299触发时机是什么？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五大试炼和必要AI训练完成后，由成长档案或AI导师提示认证准备完成。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过早出现会像卖证。</w:t>
            </w:r>
          </w:p>
        </w:tc>
      </w:tr>
    </w:tbl>
    <w:p/>
    <w:p>
      <w:pPr>
        <w:pStyle w:val="Heading1"/>
      </w:pPr>
      <w:r>
        <w:t>四、继续成长验证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继续成长动机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产品承接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可能断点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从一星到二星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二星定位为小项目项目经理，承接更真实的日常治理问题闭环。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若二星只显示锁定，没有价值预告，用户可能停止。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从能力到职业身份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成长档案记录能力、徽章、认证状态，形成职业身份资产。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若档案只是记录学习数据，用户感受不到成长价值。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从个人成长到项目实践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项目案例、AI副本、制度工具未来支持真实项目能力。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若缺少真实项目感，成长世界会退回课程平台。</w:t>
            </w:r>
          </w:p>
        </w:tc>
      </w:tr>
    </w:tbl>
    <w:p/>
    <w:p>
      <w:pPr>
        <w:pStyle w:val="Heading1"/>
      </w:pPr>
      <w:r>
        <w:t>五、逻辑漏洞与断点清单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断点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风险等级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新手村到成长世界的转化理由不足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如果通关后没有“我想成为真正能解决问题的金牌管家”的目标承接，用户可能离开。</w:t>
            </w:r>
          </w:p>
        </w:tc>
        <w:tc>
          <w:tcPr>
            <w:tcW w:type="dxa" w:w="3331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高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499价值被课程化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若用课程、章节、购买课程作为主要表达，会违背“成长计划”定位。</w:t>
            </w:r>
          </w:p>
        </w:tc>
        <w:tc>
          <w:tcPr>
            <w:tcW w:type="dxa" w:w="3331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高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AI导师被问答化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若AI只负责回答问题，不负责任务、评分和成长档案，训练价值不成立。</w:t>
            </w:r>
          </w:p>
        </w:tc>
        <w:tc>
          <w:tcPr>
            <w:tcW w:type="dxa" w:w="3331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中高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成长档案与认证中心脱节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如果档案不能证明用户准备认证，299转化理由会变弱。</w:t>
            </w:r>
          </w:p>
        </w:tc>
        <w:tc>
          <w:tcPr>
            <w:tcW w:type="dxa" w:w="3331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高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认证与证书价值表达不足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如果证书只是图标，没有职业身份和档案记录，用户购买299动机不足。</w:t>
            </w:r>
          </w:p>
        </w:tc>
        <w:tc>
          <w:tcPr>
            <w:tcW w:type="dxa" w:w="3331"/>
            <w:vAlign w:val="center"/>
            <w:shd w:fill="F7D8D3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中高</w:t>
            </w:r>
          </w:p>
        </w:tc>
      </w:tr>
    </w:tbl>
    <w:p/>
    <w:sectPr w:rsidR="00FC693F" w:rsidRPr="0006063C" w:rsidSect="00034616">
      <w:pgSz w:w="12240" w:h="15840"/>
      <w:pgMar w:top="1123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PingFang SC"/>
      <w:color w:val="26353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53B3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F6B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153B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