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PingFang SC"/>
          <w:b/>
          <w:color w:val="153B34"/>
          <w:sz w:val="44"/>
        </w:rPr>
        <w:t>认证价值体系 V1.0</w:t>
      </w:r>
    </w:p>
    <w:p>
      <w:pPr>
        <w:jc w:val="center"/>
      </w:pPr>
      <w:r>
        <w:rPr>
          <w:rFonts w:ascii="Arial" w:hAnsi="Arial" w:eastAsia="PingFang SC"/>
          <w:color w:val="5E6F69"/>
          <w:sz w:val="20"/>
        </w:rPr>
        <w:t>回答认证卖的到底是什么｜仅分析认证价值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997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997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依据来源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产品圣经/00_圣经/信托制世界产品圣经_V1.0.docx；产品圣经/05_商业模式/商业模式说明.docx；开发文档/用户转化路径验证.docx；开发文档/用户完整旅程地图.docx</w:t>
            </w:r>
          </w:p>
        </w:tc>
      </w:tr>
      <w:tr>
        <w:tc>
          <w:tcPr>
            <w:tcW w:type="dxa" w:w="4997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创建时间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2026-05-31</w:t>
            </w:r>
          </w:p>
        </w:tc>
      </w:tr>
      <w:tr>
        <w:tc>
          <w:tcPr>
            <w:tcW w:type="dxa" w:w="4997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创建人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Codex</w:t>
            </w:r>
          </w:p>
        </w:tc>
      </w:tr>
      <w:tr>
        <w:tc>
          <w:tcPr>
            <w:tcW w:type="dxa" w:w="4997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边界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不修改商业模式，不修改价格，不开发功能，仅分析认证价值。</w:t>
            </w:r>
          </w:p>
        </w:tc>
      </w:tr>
      <w:tr>
        <w:tc>
          <w:tcPr>
            <w:tcW w:type="dxa" w:w="4997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风险等级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低风险</w:t>
            </w:r>
          </w:p>
        </w:tc>
      </w:tr>
    </w:tbl>
    <w:p/>
    <w:p>
      <w:pPr>
        <w:pStyle w:val="Heading1"/>
      </w:pPr>
      <w:r>
        <w:t>一、认证核心定义</w:t>
      </w:r>
    </w:p>
    <w:p>
      <w:pPr>
        <w:ind w:left="259" w:hanging="173"/>
      </w:pPr>
      <w:r>
        <w:rPr>
          <w:b/>
        </w:rPr>
        <w:t xml:space="preserve">• </w:t>
      </w:r>
      <w:r>
        <w:t>认证卖的不是一张孤立证书，而是“能力被验证后的职业身份”。</w:t>
      </w:r>
    </w:p>
    <w:p>
      <w:pPr>
        <w:ind w:left="259" w:hanging="173"/>
      </w:pPr>
      <w:r>
        <w:rPr>
          <w:b/>
        </w:rPr>
        <w:t xml:space="preserve">• </w:t>
      </w:r>
      <w:r>
        <w:t>认证不是499一星成长计划的重复收费，而是成长之后的正式验证环节。</w:t>
      </w:r>
    </w:p>
    <w:p>
      <w:pPr>
        <w:ind w:left="259" w:hanging="173"/>
      </w:pPr>
      <w:r>
        <w:rPr>
          <w:b/>
        </w:rPr>
        <w:t xml:space="preserve">• </w:t>
      </w:r>
      <w:r>
        <w:t>认证的核心价值由五部分组成：能力证明、职业身份、成长档案认证、AI答辩记录、未来晋升资格。</w:t>
      </w:r>
    </w:p>
    <w:p>
      <w:pPr>
        <w:ind w:left="259" w:hanging="173"/>
      </w:pPr>
      <w:r>
        <w:rPr>
          <w:b/>
        </w:rPr>
        <w:t xml:space="preserve">• </w:t>
      </w:r>
      <w:r>
        <w:t>证书是外显载体，身份是核心结果，能力证明是底层价值，未来晋升资格是后续动力。</w:t>
      </w:r>
    </w:p>
    <w:p>
      <w:pPr>
        <w:pStyle w:val="Heading1"/>
      </w:pPr>
      <w:r>
        <w:t>二、为什么用户要认证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用户问题</w:t>
            </w:r>
          </w:p>
        </w:tc>
        <w:tc>
          <w:tcPr>
            <w:tcW w:type="dxa" w:w="3331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认证价值</w:t>
            </w:r>
          </w:p>
        </w:tc>
        <w:tc>
          <w:tcPr>
            <w:tcW w:type="dxa" w:w="3331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对应结果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我完成一星成长后，如何证明自己真的具备能力？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通过AI答辩、认证记录和证书形成能力证明。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从“完成成长”变成“能力被验证”。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我如何在项目、企业或同行面前展示自己的身份？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获得一星管家证书、徽章、认证编号和职业身份标识。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从“学习者”变成“一星管家”。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我的成长记录如何长期保存？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认证状态写入成长档案，形成可持续职业资产。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从“一次性学习”变成“长期成长档案”。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我为什么继续往二星成长？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一星认证成为未来晋升资格的前置条件之一。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从“一星完成”进入“二星准备”。</w:t>
            </w:r>
          </w:p>
        </w:tc>
      </w:tr>
    </w:tbl>
    <w:p/>
    <w:p>
      <w:pPr>
        <w:pStyle w:val="Heading1"/>
      </w:pPr>
      <w:r>
        <w:t>三、认证解决什么问题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问题类型</w:t>
            </w:r>
          </w:p>
        </w:tc>
        <w:tc>
          <w:tcPr>
            <w:tcW w:type="dxa" w:w="3331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未认证状态</w:t>
            </w:r>
          </w:p>
        </w:tc>
        <w:tc>
          <w:tcPr>
            <w:tcW w:type="dxa" w:w="3331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认证后状态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能力不可见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用户完成试炼和AI训练，但成果只停留在系统内。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能力通过答辩、证书、徽章和档案变得可见。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身份不明确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用户知道自己在成长，但还没有正式职业身份。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用户获得“一星管家”身份标识。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信任不足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外部不知道用户是否真的理解信托制和治理逻辑。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认证记录成为对外展示的信任凭证。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成长断点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用户完成一星后不知道是否继续。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认证完成后自然连接二星成长路径。</w:t>
            </w:r>
          </w:p>
        </w:tc>
      </w:tr>
    </w:tbl>
    <w:p/>
    <w:p>
      <w:pPr>
        <w:pStyle w:val="Heading1"/>
      </w:pPr>
      <w:r>
        <w:t>四、认证带来的身份变化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认证前</w:t>
            </w:r>
          </w:p>
        </w:tc>
        <w:tc>
          <w:tcPr>
            <w:tcW w:type="dxa" w:w="3331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认证后</w:t>
            </w:r>
          </w:p>
        </w:tc>
        <w:tc>
          <w:tcPr>
            <w:tcW w:type="dxa" w:w="3331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变化说明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信托制正式冒险者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一星管家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完成认知入门并通过一星能力验证。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一星成长计划用户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一星认证用户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从成长参与者变成认证身份持有人。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完成试炼者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具备可展示能力证明的人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成果进入成长档案并可被外部识别。</w:t>
            </w:r>
          </w:p>
        </w:tc>
      </w:tr>
    </w:tbl>
    <w:p/>
    <w:p>
      <w:pPr>
        <w:pStyle w:val="Heading1"/>
      </w:pPr>
      <w:r>
        <w:t>五、认证带来的职业变化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职业变化</w:t>
            </w:r>
          </w:p>
        </w:tc>
        <w:tc>
          <w:tcPr>
            <w:tcW w:type="dxa" w:w="3331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331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后续价值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职业表达更清晰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用户可以用“一星管家”表达自己的能力阶段。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更容易参与项目、企业内部培养或后续二星成长。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能力证据更完整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不只展示学习记录，而展示试炼、AI答辩、认证记录。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形成长期职业成长资产。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成长路径更连续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认证后进入二星路径预告。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推动用户继续成长。</w:t>
            </w:r>
          </w:p>
        </w:tc>
      </w:tr>
    </w:tbl>
    <w:p/>
    <w:p>
      <w:pPr>
        <w:pStyle w:val="Heading1"/>
      </w:pPr>
      <w:r>
        <w:t>六、认证价值判断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4997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4997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认证卖的是证书吗？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证书是载体，不是全部价值。</w:t>
            </w:r>
          </w:p>
        </w:tc>
      </w:tr>
      <w:tr>
        <w:tc>
          <w:tcPr>
            <w:tcW w:type="dxa" w:w="4997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认证卖的是身份吗？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身份是核心结果。</w:t>
            </w:r>
          </w:p>
        </w:tc>
      </w:tr>
      <w:tr>
        <w:tc>
          <w:tcPr>
            <w:tcW w:type="dxa" w:w="4997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认证卖的是能力证明吗？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能力证明是底层价值。</w:t>
            </w:r>
          </w:p>
        </w:tc>
      </w:tr>
      <w:tr>
        <w:tc>
          <w:tcPr>
            <w:tcW w:type="dxa" w:w="4997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认证卖的是职业成长吗？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职业成长是持续价值。</w:t>
            </w:r>
          </w:p>
        </w:tc>
      </w:tr>
      <w:tr>
        <w:tc>
          <w:tcPr>
            <w:tcW w:type="dxa" w:w="4997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认证卖的是未来晋升资格吗？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未来晋升资格是后续动力。</w:t>
            </w:r>
          </w:p>
        </w:tc>
      </w:tr>
    </w:tbl>
    <w:p/>
    <w:sectPr w:rsidR="00FC693F" w:rsidRPr="0006063C" w:rsidSect="00034616">
      <w:pgSz w:w="12240" w:h="15840"/>
      <w:pgMar w:top="1123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 w:eastAsia="PingFang SC"/>
      <w:color w:val="26353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153B3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2F6B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rial" w:hAnsi="Arial" w:eastAsia="PingFang SC"/>
      <w:b/>
      <w:bCs/>
      <w:color w:val="153B3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