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SC"/>
          <w:b/>
          <w:color w:val="163B34"/>
          <w:sz w:val="44"/>
        </w:rPr>
        <w:t>V1.0 页面清单</w:t>
      </w:r>
    </w:p>
    <w:p>
      <w:pPr>
        <w:jc w:val="center"/>
      </w:pPr>
      <w:r>
        <w:rPr>
          <w:rFonts w:ascii="Arial" w:hAnsi="Arial" w:eastAsia="PingFang SC"/>
          <w:color w:val="5E6F69"/>
          <w:sz w:val="20"/>
        </w:rPr>
        <w:t>依据《信托制世界产品圣经 V1.0》整理｜页面优先级与边界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11"/>
      </w:tblGrid>
      <w:tr>
        <w:tc>
          <w:tcPr>
            <w:tcW w:type="dxa" w:w="493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93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来源文件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/Users/Administrator/Documents/New project/金牌管家成长世界/产品圣经/00_圣经/信托制世界产品圣经_V1.0.docx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创建时间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2026-05-31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创建人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Codex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页面总数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28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P0/P1/P2统计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 14 ｜ P1 8 ｜ P2 6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风险等级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低风险</w:t>
            </w:r>
          </w:p>
        </w:tc>
      </w:tr>
    </w:tbl>
    <w:p/>
    <w:p>
      <w:pPr>
        <w:pStyle w:val="Heading1"/>
      </w:pPr>
      <w:r>
        <w:t>一、页面清单总表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64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64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164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64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64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64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边界说明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信托制世界入口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Trust World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进入信托制生态共同入口，承接新手村与成长路径。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不可做成机构官网或课程首页。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新手村入口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启动旧世界困境、治理议事厅、信托之城主线。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免费体验核心入口。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旧世界困境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让用户看见结构性矛盾。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不能丑化任何一方。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治理议事厅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探索业主自管、社区兜底、国企接管、酬金制及换物业局限。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强调换人不等于换结构。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信托之城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先看见结果，再揭晓信托制物业服务模式。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资金逻辑必须准确。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通关目标分流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获得信托制正式冒险者后选择下一步目标。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按目标分流，不按身份菜单化。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金牌管家成长世界首页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Growth World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展示成长世界与成长路径入口。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不能做课程中心。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成长地图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Growth World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展示新手村→项目员→一星→二星→三星→四星→五星。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二星至五星可锁定。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一星管家学院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一星成长计划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承载五大试炼与一星成长路径。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用户购买的是成长资格与体验。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五大试炼页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一星成长计划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矛盾之源、结构之眼、管家定位、资金治理、透明实践。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以能力获得为核心。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AI导师小金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AI导师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提供成长引导、规则解释、挑战组织和认证辅助。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不是聊天机器人。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记录身份、星级、试炼、AI训练、徽章、认证状态。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不能以学习时长为核心。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认证中心/认证大厅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认证体系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展示299认证考试路径、AI答辩、证书、徽章和状态。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V1.0必须实现入口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认证与成长分离。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一星成长计划转化页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商业模式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承接免费体验到499一星成长计划。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V1.0必须实现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不能表达为购买课程即拿证。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AI训练大厅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承载多种训练副本入口。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第二阶段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P0可先保留基础入口或简化体验。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业主沟通AI副本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围绕业主质疑进行沟通训练。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第二阶段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任务→对话→评分→成长档案。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业委会沟通AI副本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训练公开透明逻辑表达。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第二阶段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围绕真实治理场景。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社区书记沟通AI副本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训练推进风险与治理逻辑说明。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第二阶段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不输出替代专家判断。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项目启动会AI副本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四方共识推动训练。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第二阶段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多人场景模拟。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信托制宣讲AI副本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训练结构性问题讲解。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第二阶段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服务一星能力沉淀。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项目案例库/案例副本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案例副本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沉淀真实小区案例与分析。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第二阶段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避免资讯站化。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制度工具库/知识副本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知识副本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承载制度、公开、预算、表单等工具。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第二阶段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服务试炼与实战任务。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二星至五星学院详情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高阶成长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逐步开放更高阶成长路径。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未来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V1.0仅展示锁定状态。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联营伙伴体系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商业扩展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伙伴免费学习权限与认证收费规则。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未来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不做V1.0后台。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企业版/组织管理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商业扩展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面向企业内训、项目诊断和组织成长。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未来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待一星路径验证后扩展。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排行榜/荣誉体系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荣誉体系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展示荣誉与成就激励。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未来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避免游戏化过度。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社区交流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行业共建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用于交流、经验输出和行业共建。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未来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需先明确治理边界。</w:t>
            </w:r>
          </w:p>
        </w:tc>
      </w:tr>
      <w:tr>
        <w:tc>
          <w:tcPr>
            <w:tcW w:type="dxa" w:w="164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设置中心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基础账户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账号、通知、隐私等基础设置。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未来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不属于当前核心验证。</w:t>
            </w:r>
          </w:p>
        </w:tc>
      </w:tr>
    </w:tbl>
    <w:p/>
    <w:p>
      <w:pPr>
        <w:pStyle w:val="Heading1"/>
      </w:pPr>
      <w:r>
        <w:t>二、页面优先级说明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开发判断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没有这些页面，V1.0无法完成“认知启蒙→成长路径→商业转化”的主闭环。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必须优先开发并可演示。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增强一星成长计划和AI训练价值，但可在主闭环跑通后逐步建设。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第二阶段开发。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P2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未来商业化、生态化或高级成长扩展，不影响V1.0核心验证。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暂不开发或仅预留。</w:t>
            </w:r>
          </w:p>
        </w:tc>
      </w:tr>
    </w:tbl>
    <w:p/>
    <w:p>
      <w:pPr>
        <w:pStyle w:val="Heading1"/>
      </w:pPr>
      <w:r>
        <w:t>三、一致性检查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发现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成长世界与认证边界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圣经中同时存在“成长、训练和认证”以及“成长与认证分离”的表达。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不自动修改。落地时建议口径为：成长世界负责训练与成长档案，认证中心负责考试、答辩、证书和认证状态。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“课程”表达与禁止课程化表达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商业模式中出现“课程、AI副本、成长档案”，项目规则中禁止“课程表、购买课程、章节目录”等课程化表达。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不自动修改。落地时前台优先使用“成长计划、试炼、副本、能力任务”。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浅色学习层与课程平台风险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视觉规范允许课程详情页、视频学习页、图文阅读页；禁止事项要求不能做成在线教育平台。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不自动修改。落地时把浅色页面设计成学习/工作层，而不是课程商城。</w:t>
            </w:r>
          </w:p>
        </w:tc>
      </w:tr>
    </w:tbl>
    <w:p/>
    <w:sectPr w:rsidR="00FC693F" w:rsidRPr="0006063C" w:rsidSect="00034616"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PingFang SC"/>
      <w:color w:val="2635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63B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F6B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63B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