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导入说明：首行为表头，数据从第二行开始（本段文字导入时会被忽略，仅读取表格）。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用户标识</w:t>
            </w:r>
          </w:p>
        </w:tc>
      </w:tr>
      <w:tr>
        <w:tc>
          <w:tcPr>
            <w:tcW w:type="dxa" w:w="8640"/>
          </w:tcPr>
          <w:p>
            <w:r>
              <w:t>zhangmy</w:t>
            </w:r>
          </w:p>
        </w:tc>
      </w:tr>
      <w:tr>
        <w:tc>
          <w:tcPr>
            <w:tcW w:type="dxa" w:w="8640"/>
          </w:tcPr>
          <w:p>
            <w:r>
              <w:t>lisq@example.com</w:t>
            </w:r>
          </w:p>
        </w:tc>
      </w:tr>
      <w:tr>
        <w:tc>
          <w:tcPr>
            <w:tcW w:type="dxa" w:w="8640"/>
          </w:tcPr>
          <w:p>
            <w:r>
              <w:t>13800001003</w:t>
            </w:r>
          </w:p>
        </w:tc>
      </w:tr>
      <w:tr>
        <w:tc>
          <w:tcPr>
            <w:tcW w:type="dxa" w:w="8640"/>
          </w:tcPr>
          <w:p>
            <w:r>
              <w:t>20260105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