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lang w:val="en-US" w:eastAsia="zh-CN"/>
        </w:rPr>
        <w:t>考研SOSO</w:t>
      </w:r>
      <w:r>
        <w:rPr>
          <w:rFonts w:hint="eastAsia"/>
          <w:sz w:val="36"/>
        </w:rPr>
        <w:t>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20"/>
            </w:rPr>
            <w:t>1</w:t>
          </w:r>
          <w:r>
            <w:tab/>
          </w:r>
          <w:r>
            <w:rPr>
              <w:rStyle w:val="20"/>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20"/>
            </w:rPr>
            <w:t>1.1</w:t>
          </w:r>
          <w:r>
            <w:tab/>
          </w:r>
          <w:r>
            <w:rPr>
              <w:rStyle w:val="20"/>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20"/>
            </w:rPr>
            <w:t>1.2</w:t>
          </w:r>
          <w:r>
            <w:tab/>
          </w:r>
          <w:r>
            <w:rPr>
              <w:rStyle w:val="20"/>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20"/>
            </w:rPr>
            <w:t>1.3</w:t>
          </w:r>
          <w:r>
            <w:tab/>
          </w:r>
          <w:r>
            <w:rPr>
              <w:rStyle w:val="20"/>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20"/>
            </w:rPr>
            <w:t>1.4</w:t>
          </w:r>
          <w:r>
            <w:tab/>
          </w:r>
          <w:r>
            <w:rPr>
              <w:rStyle w:val="20"/>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20"/>
            </w:rPr>
            <w:t>1.5</w:t>
          </w:r>
          <w:r>
            <w:tab/>
          </w:r>
          <w:r>
            <w:rPr>
              <w:rStyle w:val="20"/>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20"/>
            </w:rPr>
            <w:t>2</w:t>
          </w:r>
          <w:r>
            <w:tab/>
          </w:r>
          <w:r>
            <w:rPr>
              <w:rStyle w:val="20"/>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20"/>
            </w:rPr>
            <w:t>2.1</w:t>
          </w:r>
          <w:r>
            <w:tab/>
          </w:r>
          <w:r>
            <w:rPr>
              <w:rStyle w:val="20"/>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20"/>
            </w:rPr>
            <w:t>2.2</w:t>
          </w:r>
          <w:r>
            <w:tab/>
          </w:r>
          <w:r>
            <w:rPr>
              <w:rStyle w:val="20"/>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20"/>
            </w:rPr>
            <w:t>2.3</w:t>
          </w:r>
          <w:r>
            <w:tab/>
          </w:r>
          <w:r>
            <w:rPr>
              <w:rStyle w:val="20"/>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20"/>
            </w:rPr>
            <w:t>2.4</w:t>
          </w:r>
          <w:r>
            <w:tab/>
          </w:r>
          <w:r>
            <w:rPr>
              <w:rStyle w:val="20"/>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20"/>
            </w:rPr>
            <w:t>2.5</w:t>
          </w:r>
          <w:r>
            <w:tab/>
          </w:r>
          <w:r>
            <w:rPr>
              <w:rStyle w:val="20"/>
              <w:rFonts w:hint="eastAsia"/>
            </w:rPr>
            <w:t>错误代码</w:t>
          </w:r>
          <w:r>
            <w:tab/>
          </w:r>
          <w:r>
            <w:fldChar w:fldCharType="begin"/>
          </w:r>
          <w:r>
            <w:instrText xml:space="preserve"> PAGEREF _Toc301301038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20"/>
            </w:rPr>
            <w:t>2.6</w:t>
          </w:r>
          <w:r>
            <w:tab/>
          </w:r>
          <w:r>
            <w:rPr>
              <w:rStyle w:val="20"/>
              <w:rFonts w:hint="eastAsia"/>
            </w:rPr>
            <w:t>错误日志</w:t>
          </w:r>
          <w:r>
            <w:tab/>
          </w:r>
          <w:r>
            <w:fldChar w:fldCharType="begin"/>
          </w:r>
          <w:r>
            <w:instrText xml:space="preserve"> PAGEREF _Toc301301039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20"/>
            </w:rPr>
            <w:t>2.7</w:t>
          </w:r>
          <w:r>
            <w:tab/>
          </w:r>
          <w:r>
            <w:rPr>
              <w:rStyle w:val="20"/>
              <w:rFonts w:hint="eastAsia"/>
            </w:rPr>
            <w:t>部署视图</w:t>
          </w:r>
          <w:r>
            <w:tab/>
          </w:r>
          <w:r>
            <w:fldChar w:fldCharType="begin"/>
          </w:r>
          <w:r>
            <w:instrText xml:space="preserve"> PAGEREF _Toc301301040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20"/>
            </w:rPr>
            <w:t>3</w:t>
          </w:r>
          <w:r>
            <w:tab/>
          </w:r>
          <w:r>
            <w:rPr>
              <w:rStyle w:val="20"/>
              <w:rFonts w:hint="eastAsia"/>
            </w:rPr>
            <w:t>数据库设计</w:t>
          </w:r>
          <w:r>
            <w:tab/>
          </w:r>
          <w:r>
            <w:fldChar w:fldCharType="begin"/>
          </w:r>
          <w:r>
            <w:instrText xml:space="preserve"> PAGEREF _Toc301301041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20"/>
            </w:rPr>
            <w:t>3.1</w:t>
          </w:r>
          <w:r>
            <w:tab/>
          </w:r>
          <w:r>
            <w:rPr>
              <w:rStyle w:val="20"/>
              <w:rFonts w:hint="eastAsia"/>
            </w:rPr>
            <w:t>逻辑模型</w:t>
          </w:r>
          <w:r>
            <w:tab/>
          </w:r>
          <w:r>
            <w:fldChar w:fldCharType="begin"/>
          </w:r>
          <w:r>
            <w:instrText xml:space="preserve"> PAGEREF _Toc301301042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20"/>
            </w:rPr>
            <w:t>3.2</w:t>
          </w:r>
          <w:r>
            <w:tab/>
          </w:r>
          <w:r>
            <w:rPr>
              <w:rStyle w:val="20"/>
              <w:rFonts w:hint="eastAsia"/>
            </w:rPr>
            <w:t>物理模型</w:t>
          </w:r>
          <w:r>
            <w:tab/>
          </w:r>
          <w:r>
            <w:fldChar w:fldCharType="begin"/>
          </w:r>
          <w:r>
            <w:instrText xml:space="preserve"> PAGEREF _Toc301301043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20"/>
            </w:rPr>
            <w:t>4</w:t>
          </w:r>
          <w:r>
            <w:tab/>
          </w:r>
          <w:r>
            <w:rPr>
              <w:rStyle w:val="20"/>
              <w:rFonts w:hint="eastAsia"/>
            </w:rPr>
            <w:t>质量及其他方面</w:t>
          </w:r>
          <w:r>
            <w:tab/>
          </w:r>
          <w:r>
            <w:fldChar w:fldCharType="begin"/>
          </w:r>
          <w:r>
            <w:instrText xml:space="preserve"> PAGEREF _Toc301301044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20"/>
            </w:rPr>
            <w:t>4.1</w:t>
          </w:r>
          <w:r>
            <w:tab/>
          </w:r>
          <w:r>
            <w:rPr>
              <w:rStyle w:val="20"/>
              <w:rFonts w:hint="eastAsia"/>
            </w:rPr>
            <w:t>可维护性</w:t>
          </w:r>
          <w:r>
            <w:tab/>
          </w:r>
          <w:r>
            <w:fldChar w:fldCharType="begin"/>
          </w:r>
          <w:r>
            <w:instrText xml:space="preserve"> PAGEREF _Toc301301045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20"/>
            </w:rPr>
            <w:t>4.2</w:t>
          </w:r>
          <w:r>
            <w:tab/>
          </w:r>
          <w:r>
            <w:rPr>
              <w:rStyle w:val="20"/>
              <w:rFonts w:hint="eastAsia"/>
            </w:rPr>
            <w:t>安全性</w:t>
          </w:r>
          <w:r>
            <w:tab/>
          </w:r>
          <w:r>
            <w:fldChar w:fldCharType="begin"/>
          </w:r>
          <w:r>
            <w:instrText xml:space="preserve"> PAGEREF _Toc301301046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20"/>
            </w:rPr>
            <w:t>4.3</w:t>
          </w:r>
          <w:r>
            <w:tab/>
          </w:r>
          <w:r>
            <w:rPr>
              <w:rStyle w:val="20"/>
              <w:rFonts w:hint="eastAsia"/>
            </w:rPr>
            <w:t>可扩展性</w:t>
          </w:r>
          <w:r>
            <w:tab/>
          </w:r>
          <w:r>
            <w:fldChar w:fldCharType="begin"/>
          </w:r>
          <w:r>
            <w:instrText xml:space="preserve"> PAGEREF _Toc301301047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20"/>
            </w:rPr>
            <w:t>4.4</w:t>
          </w:r>
          <w:r>
            <w:tab/>
          </w:r>
          <w:r>
            <w:rPr>
              <w:rStyle w:val="20"/>
              <w:rFonts w:hint="eastAsia"/>
            </w:rPr>
            <w:t>可靠性</w:t>
          </w:r>
          <w:r>
            <w:tab/>
          </w:r>
          <w:r>
            <w:fldChar w:fldCharType="begin"/>
          </w:r>
          <w:r>
            <w:instrText xml:space="preserve"> PAGEREF _Toc301301048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20"/>
            </w:rPr>
            <w:t>4.5</w:t>
          </w:r>
          <w:r>
            <w:tab/>
          </w:r>
          <w:r>
            <w:rPr>
              <w:rStyle w:val="20"/>
              <w:rFonts w:hint="eastAsia"/>
            </w:rPr>
            <w:t>可用性</w:t>
          </w:r>
          <w:r>
            <w:tab/>
          </w:r>
          <w:r>
            <w:fldChar w:fldCharType="begin"/>
          </w:r>
          <w:r>
            <w:instrText xml:space="preserve"> PAGEREF _Toc301301049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20"/>
            </w:rPr>
            <w:t>4.6</w:t>
          </w:r>
          <w:r>
            <w:tab/>
          </w:r>
          <w:r>
            <w:rPr>
              <w:rStyle w:val="20"/>
              <w:rFonts w:hint="eastAsia"/>
            </w:rPr>
            <w:t>性能设计</w:t>
          </w:r>
          <w:r>
            <w:tab/>
          </w:r>
          <w:r>
            <w:fldChar w:fldCharType="begin"/>
          </w:r>
          <w:r>
            <w:instrText xml:space="preserve"> PAGEREF _Toc301301050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20"/>
            </w:rPr>
            <w:t>5</w:t>
          </w:r>
          <w:r>
            <w:tab/>
          </w:r>
          <w:r>
            <w:rPr>
              <w:rStyle w:val="20"/>
              <w:rFonts w:hint="eastAsia"/>
            </w:rPr>
            <w:t>附录</w:t>
          </w:r>
          <w:r>
            <w:tab/>
          </w:r>
          <w:r>
            <w:fldChar w:fldCharType="begin"/>
          </w:r>
          <w:r>
            <w:instrText xml:space="preserve"> PAGEREF _Toc301301051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20"/>
            </w:rPr>
            <w:t>5.1</w:t>
          </w:r>
          <w:r>
            <w:tab/>
          </w:r>
          <w:r>
            <w:rPr>
              <w:rStyle w:val="20"/>
              <w:rFonts w:hint="eastAsia"/>
            </w:rPr>
            <w:t>附件</w:t>
          </w:r>
          <w:r>
            <w:tab/>
          </w:r>
          <w:r>
            <w:fldChar w:fldCharType="begin"/>
          </w:r>
          <w:r>
            <w:instrText xml:space="preserve"> PAGEREF _Toc301301052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20"/>
            </w:rPr>
            <w:t>5.2</w:t>
          </w:r>
          <w:r>
            <w:tab/>
          </w:r>
          <w:r>
            <w:rPr>
              <w:rStyle w:val="20"/>
              <w:rFonts w:hint="eastAsia"/>
            </w:rPr>
            <w:t>修过记录</w:t>
          </w:r>
          <w:r>
            <w:tab/>
          </w:r>
          <w:r>
            <w:fldChar w:fldCharType="begin"/>
          </w:r>
          <w:r>
            <w:instrText xml:space="preserve"> PAGEREF _Toc301301053 \h </w:instrText>
          </w:r>
          <w:r>
            <w:fldChar w:fldCharType="separate"/>
          </w:r>
          <w:r>
            <w:t>13</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w:t>
      </w:r>
      <w:r>
        <w:rPr>
          <w:rFonts w:hint="eastAsia"/>
          <w:lang w:val="en-US" w:eastAsia="zh-CN"/>
        </w:rPr>
        <w:t>考研sosoAPP</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考研soso</w:t>
      </w:r>
      <w:r>
        <w:rPr>
          <w:rFonts w:hint="eastAsia"/>
        </w:rPr>
        <w:t>需求确认书》</w:t>
      </w:r>
    </w:p>
    <w:p>
      <w:pPr>
        <w:pStyle w:val="3"/>
      </w:pPr>
      <w:bookmarkStart w:id="5" w:name="_Toc301301032"/>
      <w:r>
        <w:rPr>
          <w:rFonts w:hint="eastAsia"/>
        </w:rPr>
        <w:t>系统目标和约束</w:t>
      </w:r>
      <w:bookmarkEnd w:id="5"/>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34"/>
        <w:numPr>
          <w:ilvl w:val="0"/>
          <w:numId w:val="2"/>
        </w:numPr>
        <w:ind w:firstLineChars="0"/>
      </w:pPr>
      <w:r>
        <w:rPr>
          <w:rFonts w:hint="eastAsia"/>
        </w:rPr>
        <w:t>硬件环境：</w:t>
      </w:r>
    </w:p>
    <w:p>
      <w:pPr>
        <w:pStyle w:val="34"/>
        <w:numPr>
          <w:ilvl w:val="1"/>
          <w:numId w:val="2"/>
        </w:numPr>
        <w:ind w:firstLineChars="0"/>
      </w:pPr>
      <w:r>
        <w:rPr>
          <w:rFonts w:hint="eastAsia"/>
        </w:rPr>
        <w:t>需要互联网</w:t>
      </w:r>
    </w:p>
    <w:p>
      <w:pPr>
        <w:pStyle w:val="34"/>
        <w:numPr>
          <w:ilvl w:val="1"/>
          <w:numId w:val="2"/>
        </w:numPr>
        <w:ind w:firstLineChars="0"/>
      </w:pPr>
      <w:r>
        <w:rPr>
          <w:rFonts w:hint="eastAsia"/>
        </w:rPr>
        <w:t>至少需要一台服务器</w:t>
      </w:r>
    </w:p>
    <w:p/>
    <w:p>
      <w:pPr>
        <w:pStyle w:val="34"/>
        <w:numPr>
          <w:ilvl w:val="0"/>
          <w:numId w:val="2"/>
        </w:numPr>
        <w:ind w:firstLineChars="0"/>
      </w:pPr>
      <w:r>
        <w:rPr>
          <w:rFonts w:hint="eastAsia"/>
        </w:rPr>
        <w:t>软件：</w:t>
      </w:r>
    </w:p>
    <w:p>
      <w:pPr>
        <w:pStyle w:val="34"/>
        <w:numPr>
          <w:ilvl w:val="1"/>
          <w:numId w:val="2"/>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2"/>
        </w:numPr>
        <w:ind w:firstLineChars="0"/>
      </w:pPr>
      <w:r>
        <w:rPr>
          <w:rFonts w:hint="eastAsia"/>
        </w:rPr>
        <w:t>需要Apache2.2作为WEB服务器。</w:t>
      </w:r>
    </w:p>
    <w:p>
      <w:pPr>
        <w:pStyle w:val="34"/>
        <w:numPr>
          <w:ilvl w:val="1"/>
          <w:numId w:val="2"/>
        </w:numPr>
        <w:ind w:firstLineChars="0"/>
      </w:pPr>
      <w:r>
        <w:rPr>
          <w:rFonts w:hint="eastAsia"/>
        </w:rPr>
        <w:t>需要安装PHP解释器</w:t>
      </w:r>
    </w:p>
    <w:p>
      <w:pPr>
        <w:pStyle w:val="34"/>
        <w:numPr>
          <w:ilvl w:val="0"/>
          <w:numId w:val="2"/>
        </w:numPr>
        <w:ind w:firstLineChars="0"/>
      </w:pPr>
      <w:r>
        <w:rPr>
          <w:rFonts w:hint="eastAsia"/>
        </w:rPr>
        <w:t>配置：</w:t>
      </w:r>
    </w:p>
    <w:p>
      <w:pPr>
        <w:pStyle w:val="34"/>
        <w:numPr>
          <w:ilvl w:val="1"/>
          <w:numId w:val="2"/>
        </w:numPr>
        <w:ind w:firstLineChars="0"/>
      </w:pPr>
      <w:r>
        <w:rPr>
          <w:rFonts w:hint="eastAsia"/>
        </w:rPr>
        <w:t>因为PHP5.3以上的版本已经不支持mssql扩展，所以需要自行下载微软提供的The SQL Server Driver for PHP(SQLSRV20.EXE)</w:t>
      </w:r>
    </w:p>
    <w:p>
      <w:pPr>
        <w:pStyle w:val="34"/>
        <w:numPr>
          <w:ilvl w:val="1"/>
          <w:numId w:val="2"/>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2"/>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2"/>
        </w:numPr>
        <w:ind w:firstLineChars="0"/>
      </w:pPr>
      <w:r>
        <w:rPr>
          <w:rFonts w:hint="eastAsia"/>
        </w:rPr>
        <w:t>部署：</w:t>
      </w:r>
    </w:p>
    <w:p>
      <w:pPr>
        <w:pStyle w:val="34"/>
        <w:numPr>
          <w:ilvl w:val="1"/>
          <w:numId w:val="2"/>
        </w:numPr>
        <w:ind w:firstLineChars="0"/>
      </w:pPr>
      <w:r>
        <w:rPr>
          <w:rFonts w:hint="eastAsia"/>
        </w:rPr>
        <w:t>配置PHP.ini,关闭错误提示。</w:t>
      </w:r>
    </w:p>
    <w:p>
      <w:pPr>
        <w:pStyle w:val="34"/>
        <w:numPr>
          <w:ilvl w:val="1"/>
          <w:numId w:val="2"/>
        </w:numPr>
        <w:ind w:firstLineChars="0"/>
      </w:pPr>
      <w:r>
        <w:rPr>
          <w:rFonts w:hint="eastAsia"/>
        </w:rPr>
        <w:t>配置PHP连接MS SQL的文件，修改IP地址、数据库的用户名和密码。</w:t>
      </w:r>
    </w:p>
    <w:p>
      <w:pPr>
        <w:pStyle w:val="34"/>
        <w:numPr>
          <w:ilvl w:val="1"/>
          <w:numId w:val="2"/>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pPr>
        <w:rPr>
          <w:rFonts w:hint="eastAsia"/>
        </w:rPr>
      </w:pPr>
    </w:p>
    <w:p>
      <w:pPr>
        <w:pStyle w:val="3"/>
      </w:pPr>
      <w:bookmarkStart w:id="16" w:name="_Toc301301043"/>
      <w:r>
        <w:rPr>
          <w:rFonts w:hint="eastAsia"/>
        </w:rPr>
        <w:t>物理模型</w:t>
      </w:r>
      <w:bookmarkEnd w:id="16"/>
    </w:p>
    <w:p>
      <w:pPr>
        <w:pStyle w:val="34"/>
        <w:numPr>
          <w:ilvl w:val="0"/>
          <w:numId w:val="3"/>
        </w:numPr>
        <w:ind w:firstLineChars="0"/>
      </w:pPr>
      <w:r>
        <w:rPr>
          <w:rFonts w:hint="eastAsia"/>
        </w:rPr>
        <w:t>为每个表初始设置300M的存储空间，以10%的大小扩展。</w:t>
      </w:r>
    </w:p>
    <w:p>
      <w:pPr>
        <w:pStyle w:val="34"/>
        <w:numPr>
          <w:ilvl w:val="0"/>
          <w:numId w:val="3"/>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4"/>
        </w:numPr>
        <w:ind w:firstLineChars="0"/>
      </w:pPr>
      <w:r>
        <w:rPr>
          <w:rFonts w:hint="eastAsia"/>
        </w:rPr>
        <w:t>通过程序注释等方式增加代码的可读性和可维护性。</w:t>
      </w:r>
    </w:p>
    <w:p>
      <w:pPr>
        <w:pStyle w:val="34"/>
        <w:numPr>
          <w:ilvl w:val="0"/>
          <w:numId w:val="4"/>
        </w:numPr>
        <w:ind w:firstLineChars="0"/>
      </w:pPr>
      <w:r>
        <w:rPr>
          <w:rFonts w:hint="eastAsia"/>
        </w:rPr>
        <w:t>将数据访问层分离，做成一个个函数，由其它层调用，以增加代码的可维护性。</w:t>
      </w:r>
    </w:p>
    <w:p>
      <w:pPr>
        <w:pStyle w:val="34"/>
        <w:numPr>
          <w:ilvl w:val="0"/>
          <w:numId w:val="4"/>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5"/>
        </w:numPr>
        <w:ind w:firstLineChars="0"/>
      </w:pPr>
      <w:r>
        <w:rPr>
          <w:rFonts w:hint="eastAsia"/>
        </w:rPr>
        <w:t>密码使用md5加密</w:t>
      </w:r>
    </w:p>
    <w:p>
      <w:pPr>
        <w:pStyle w:val="34"/>
        <w:numPr>
          <w:ilvl w:val="0"/>
          <w:numId w:val="5"/>
        </w:numPr>
        <w:ind w:firstLineChars="0"/>
      </w:pPr>
      <w:r>
        <w:rPr>
          <w:rFonts w:hint="eastAsia"/>
        </w:rPr>
        <w:t>对用户的输入进行验证</w:t>
      </w:r>
    </w:p>
    <w:p>
      <w:pPr>
        <w:pStyle w:val="34"/>
        <w:numPr>
          <w:ilvl w:val="0"/>
          <w:numId w:val="5"/>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6"/>
        </w:numPr>
        <w:ind w:firstLineChars="0"/>
      </w:pPr>
      <w:r>
        <w:rPr>
          <w:rFonts w:hint="eastAsia"/>
        </w:rPr>
        <w:t>可以通过增加硬件资源的方式提高系统的响应速度。</w:t>
      </w:r>
    </w:p>
    <w:p>
      <w:pPr>
        <w:pStyle w:val="34"/>
        <w:numPr>
          <w:ilvl w:val="0"/>
          <w:numId w:val="6"/>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7"/>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p>
      <w:pPr>
        <w:pStyle w:val="3"/>
      </w:pPr>
      <w:bookmarkStart w:id="26" w:name="_Toc301301053"/>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val="en-US" w:eastAsia="zh-CN"/>
              </w:rPr>
            </w:pPr>
            <w:r>
              <w:rPr>
                <w:rFonts w:hint="eastAsia"/>
                <w:lang w:val="en-US" w:eastAsia="zh-CN"/>
              </w:rPr>
              <w:t>安南</w:t>
            </w:r>
          </w:p>
        </w:tc>
        <w:tc>
          <w:tcPr>
            <w:tcW w:w="1276" w:type="dxa"/>
          </w:tcPr>
          <w:p>
            <w:pPr>
              <w:spacing w:line="240" w:lineRule="auto"/>
            </w:pPr>
            <w:r>
              <w:rPr>
                <w:rFonts w:hint="eastAsia"/>
              </w:rPr>
              <w:t>20</w:t>
            </w:r>
            <w:r>
              <w:t>20</w:t>
            </w:r>
            <w:r>
              <w:rPr>
                <w:rFonts w:hint="eastAsia"/>
              </w:rPr>
              <w:t>-</w:t>
            </w:r>
            <w:r>
              <w:t>4</w:t>
            </w:r>
            <w:r>
              <w:rPr>
                <w:rFonts w:hint="eastAsia"/>
              </w:rPr>
              <w:t>-</w:t>
            </w:r>
            <w:r>
              <w:t>18</w:t>
            </w:r>
          </w:p>
        </w:tc>
        <w:tc>
          <w:tcPr>
            <w:tcW w:w="3834" w:type="dxa"/>
          </w:tcPr>
          <w:p>
            <w:pPr>
              <w:spacing w:line="240" w:lineRule="auto"/>
            </w:pPr>
          </w:p>
        </w:tc>
        <w:tc>
          <w:tcPr>
            <w:tcW w:w="1603" w:type="dxa"/>
          </w:tcPr>
          <w:p>
            <w:pPr>
              <w:spacing w:line="240" w:lineRule="auto"/>
            </w:pPr>
          </w:p>
        </w:tc>
      </w:tr>
    </w:tbl>
    <w:p/>
    <w:p>
      <w:bookmarkStart w:id="27" w:name="_GoBack"/>
      <w:bookmarkEnd w:id="27"/>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B1425"/>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A499D"/>
    <w:rsid w:val="008B7291"/>
    <w:rsid w:val="008D4607"/>
    <w:rsid w:val="008E1000"/>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4608A"/>
    <w:rsid w:val="00F52D00"/>
    <w:rsid w:val="280E17FA"/>
    <w:rsid w:val="64335C6E"/>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2"/>
    <w:semiHidden/>
    <w:unhideWhenUsed/>
    <w:qFormat/>
    <w:uiPriority w:val="99"/>
    <w:pPr>
      <w:spacing w:line="240" w:lineRule="auto"/>
    </w:pPr>
    <w:rPr>
      <w:sz w:val="18"/>
      <w:szCs w:val="18"/>
    </w:rPr>
  </w:style>
  <w:style w:type="paragraph" w:styleId="13">
    <w:name w:val="footer"/>
    <w:basedOn w:val="1"/>
    <w:link w:val="31"/>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customStyle="1" w:styleId="21">
    <w:name w:val="标题 1 字符"/>
    <w:basedOn w:val="19"/>
    <w:link w:val="2"/>
    <w:uiPriority w:val="9"/>
    <w:rPr>
      <w:b/>
      <w:bCs/>
      <w:kern w:val="44"/>
      <w:sz w:val="44"/>
      <w:szCs w:val="44"/>
    </w:rPr>
  </w:style>
  <w:style w:type="character" w:customStyle="1" w:styleId="22">
    <w:name w:val="标题 2 字符"/>
    <w:basedOn w:val="19"/>
    <w:link w:val="3"/>
    <w:uiPriority w:val="9"/>
    <w:rPr>
      <w:rFonts w:asciiTheme="majorHAnsi" w:hAnsiTheme="majorHAnsi" w:eastAsiaTheme="majorEastAsia" w:cstheme="majorBidi"/>
      <w:b/>
      <w:bCs/>
      <w:sz w:val="32"/>
      <w:szCs w:val="32"/>
    </w:rPr>
  </w:style>
  <w:style w:type="character" w:customStyle="1" w:styleId="23">
    <w:name w:val="标题 3 字符"/>
    <w:basedOn w:val="19"/>
    <w:link w:val="4"/>
    <w:uiPriority w:val="9"/>
    <w:rPr>
      <w:b/>
      <w:bCs/>
      <w:sz w:val="32"/>
      <w:szCs w:val="32"/>
    </w:rPr>
  </w:style>
  <w:style w:type="character" w:customStyle="1" w:styleId="24">
    <w:name w:val="标题 4 字符"/>
    <w:basedOn w:val="19"/>
    <w:link w:val="5"/>
    <w:semiHidden/>
    <w:uiPriority w:val="9"/>
    <w:rPr>
      <w:rFonts w:asciiTheme="majorHAnsi" w:hAnsiTheme="majorHAnsi" w:eastAsiaTheme="majorEastAsia" w:cstheme="majorBidi"/>
      <w:b/>
      <w:bCs/>
      <w:sz w:val="28"/>
      <w:szCs w:val="28"/>
    </w:rPr>
  </w:style>
  <w:style w:type="character" w:customStyle="1" w:styleId="25">
    <w:name w:val="标题 5 字符"/>
    <w:basedOn w:val="19"/>
    <w:link w:val="6"/>
    <w:semiHidden/>
    <w:uiPriority w:val="9"/>
    <w:rPr>
      <w:b/>
      <w:bCs/>
      <w:sz w:val="28"/>
      <w:szCs w:val="28"/>
    </w:rPr>
  </w:style>
  <w:style w:type="character" w:customStyle="1" w:styleId="26">
    <w:name w:val="标题 6 字符"/>
    <w:basedOn w:val="19"/>
    <w:link w:val="7"/>
    <w:semiHidden/>
    <w:uiPriority w:val="9"/>
    <w:rPr>
      <w:rFonts w:asciiTheme="majorHAnsi" w:hAnsiTheme="majorHAnsi" w:eastAsiaTheme="majorEastAsia" w:cstheme="majorBidi"/>
      <w:b/>
      <w:bCs/>
      <w:sz w:val="24"/>
      <w:szCs w:val="24"/>
    </w:rPr>
  </w:style>
  <w:style w:type="character" w:customStyle="1" w:styleId="27">
    <w:name w:val="标题 7 字符"/>
    <w:basedOn w:val="19"/>
    <w:link w:val="8"/>
    <w:semiHidden/>
    <w:uiPriority w:val="9"/>
    <w:rPr>
      <w:b/>
      <w:bCs/>
      <w:sz w:val="24"/>
      <w:szCs w:val="24"/>
    </w:rPr>
  </w:style>
  <w:style w:type="character" w:customStyle="1" w:styleId="28">
    <w:name w:val="标题 8 字符"/>
    <w:basedOn w:val="19"/>
    <w:link w:val="9"/>
    <w:semiHidden/>
    <w:uiPriority w:val="9"/>
    <w:rPr>
      <w:rFonts w:asciiTheme="majorHAnsi" w:hAnsiTheme="majorHAnsi" w:eastAsiaTheme="majorEastAsia" w:cstheme="majorBidi"/>
      <w:sz w:val="24"/>
      <w:szCs w:val="24"/>
    </w:rPr>
  </w:style>
  <w:style w:type="character" w:customStyle="1" w:styleId="29">
    <w:name w:val="标题 9 字符"/>
    <w:basedOn w:val="19"/>
    <w:link w:val="10"/>
    <w:semiHidden/>
    <w:uiPriority w:val="9"/>
    <w:rPr>
      <w:rFonts w:asciiTheme="majorHAnsi" w:hAnsiTheme="majorHAnsi" w:eastAsiaTheme="majorEastAsia" w:cstheme="majorBidi"/>
      <w:szCs w:val="21"/>
    </w:rPr>
  </w:style>
  <w:style w:type="character" w:customStyle="1" w:styleId="30">
    <w:name w:val="页眉 字符"/>
    <w:basedOn w:val="19"/>
    <w:link w:val="14"/>
    <w:uiPriority w:val="99"/>
    <w:rPr>
      <w:sz w:val="18"/>
      <w:szCs w:val="18"/>
    </w:rPr>
  </w:style>
  <w:style w:type="character" w:customStyle="1" w:styleId="31">
    <w:name w:val="页脚 字符"/>
    <w:basedOn w:val="19"/>
    <w:link w:val="13"/>
    <w:qFormat/>
    <w:uiPriority w:val="99"/>
    <w:rPr>
      <w:sz w:val="18"/>
      <w:szCs w:val="18"/>
    </w:rPr>
  </w:style>
  <w:style w:type="character" w:customStyle="1" w:styleId="32">
    <w:name w:val="批注框文本 字符"/>
    <w:basedOn w:val="19"/>
    <w:link w:val="12"/>
    <w:semiHidden/>
    <w:uiPriority w:val="99"/>
    <w:rPr>
      <w:sz w:val="18"/>
      <w:szCs w:val="18"/>
    </w:rPr>
  </w:style>
  <w:style w:type="paragraph" w:customStyle="1" w:styleId="33">
    <w:name w:val="TOC 标题1"/>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4507D3-F6DC-467F-99BC-8F20F963656E}">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7</Pages>
  <Words>580</Words>
  <Characters>3309</Characters>
  <Lines>27</Lines>
  <Paragraphs>7</Paragraphs>
  <TotalTime>0</TotalTime>
  <ScaleCrop>false</ScaleCrop>
  <LinksUpToDate>false</LinksUpToDate>
  <CharactersWithSpaces>3882</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123</cp:lastModifiedBy>
  <dcterms:modified xsi:type="dcterms:W3CDTF">2020-04-24T03:58:55Z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