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 xml:space="preserve">Let's go  产品构思</w:t>
      </w:r>
    </w:p>
    <w:p>
      <w:pPr>
        <w:pStyle w:val="PO7"/>
        <w:numPr>
          <w:ilvl w:val="0"/>
          <w:numId w:val="0"/>
        </w:numPr>
        <w:jc w:val="both"/>
        <w:spacing w:lineRule="auto" w:line="578" w:before="340" w:after="33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问题描述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160"/>
        <w:ind w:left="780" w:right="0" w:hanging="36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某省大量人口包括青年中年老人和孩子（至少10万以上）每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年都有旅游踏青需求；而他们的主要计划途径是家庭周边的旅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游社或者网上自行查找等，存在主要的问题包括：</w:t>
      </w:r>
    </w:p>
    <w:p>
      <w:pPr>
        <w:pStyle w:val="PO26"/>
        <w:bidi w:val="0"/>
        <w:numPr>
          <w:ilvl w:val="1"/>
          <w:numId w:val="1"/>
        </w:numPr>
        <w:jc w:val="both"/>
        <w:spacing w:lineRule="auto" w:line="240" w:before="0" w:after="160"/>
        <w:ind w:left="126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选择不够丰富，</w:t>
      </w:r>
      <w:r>
        <w:rPr>
          <w:color w:val="FF0000"/>
          <w:position w:val="0"/>
          <w:sz w:val="28"/>
          <w:szCs w:val="28"/>
          <w:rFonts w:ascii="Calibri" w:eastAsia="宋体" w:hAnsi="宋体" w:hint="default"/>
        </w:rPr>
        <w:t>不适合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大众个性旅游的特点；</w:t>
      </w:r>
    </w:p>
    <w:p>
      <w:pPr>
        <w:pStyle w:val="PO26"/>
        <w:bidi w:val="0"/>
        <w:numPr>
          <w:ilvl w:val="1"/>
          <w:numId w:val="1"/>
        </w:numPr>
        <w:jc w:val="both"/>
        <w:spacing w:lineRule="auto" w:line="240" w:before="0" w:after="160"/>
        <w:ind w:left="126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需要花费一定查找资料时间，</w:t>
      </w:r>
      <w:r>
        <w:rPr>
          <w:color w:val="FF0000"/>
          <w:position w:val="0"/>
          <w:sz w:val="28"/>
          <w:szCs w:val="28"/>
          <w:rFonts w:ascii="Calibri" w:eastAsia="宋体" w:hAnsi="宋体" w:hint="default"/>
        </w:rPr>
        <w:t>缺乏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便利性；</w:t>
      </w:r>
    </w:p>
    <w:p>
      <w:pPr>
        <w:pStyle w:val="PO26"/>
        <w:bidi w:val="0"/>
        <w:numPr>
          <w:ilvl w:val="1"/>
          <w:numId w:val="1"/>
        </w:numPr>
        <w:jc w:val="both"/>
        <w:spacing w:lineRule="auto" w:line="240" w:before="0" w:after="160"/>
        <w:ind w:left="126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价格</w:t>
      </w:r>
      <w:r>
        <w:rPr>
          <w:color w:val="FF0000"/>
          <w:position w:val="0"/>
          <w:sz w:val="28"/>
          <w:szCs w:val="28"/>
          <w:rFonts w:ascii="Calibri" w:eastAsia="宋体" w:hAnsi="宋体" w:hint="default"/>
        </w:rPr>
        <w:t>不是最低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160"/>
        <w:ind w:left="780" w:right="0" w:hanging="36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某地拥有全国排名前十的旅游景点，景色优美、自在天然、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价格低廉；目前主要面向周边城市，由于当地不具备计算机和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互联网知识，所以很难独立开拓网络渠道，</w:t>
      </w:r>
      <w:r>
        <w:rPr>
          <w:color w:val="FF0000"/>
          <w:position w:val="0"/>
          <w:sz w:val="28"/>
          <w:szCs w:val="28"/>
          <w:rFonts w:ascii="Calibri" w:eastAsia="宋体" w:hAnsi="宋体" w:hint="default"/>
        </w:rPr>
        <w:t>扩大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人流量；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160"/>
        <w:ind w:left="780" w:right="0" w:hanging="36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目前大众已逐渐习惯网上搜索，通过携程等网站享受到了电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子商务带来的便利，具备了充足的网络意识和习惯；这些成熟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旅游网站尚存在如下不足：</w:t>
      </w:r>
    </w:p>
    <w:p>
      <w:pPr>
        <w:pStyle w:val="PO26"/>
        <w:bidi w:val="0"/>
        <w:numPr>
          <w:ilvl w:val="1"/>
          <w:numId w:val="1"/>
        </w:numPr>
        <w:jc w:val="both"/>
        <w:spacing w:lineRule="auto" w:line="240" w:before="0" w:after="160"/>
        <w:ind w:left="126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各地旅游景点收集不够全面；</w:t>
      </w:r>
    </w:p>
    <w:p>
      <w:pPr>
        <w:pStyle w:val="PO26"/>
        <w:bidi w:val="0"/>
        <w:numPr>
          <w:ilvl w:val="1"/>
          <w:numId w:val="1"/>
        </w:numPr>
        <w:jc w:val="both"/>
        <w:spacing w:lineRule="auto" w:line="240" w:before="0" w:after="160"/>
        <w:ind w:left="126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有</w:t>
      </w:r>
      <w:r>
        <w:rPr>
          <w:color w:val="FF0000"/>
          <w:position w:val="0"/>
          <w:sz w:val="28"/>
          <w:szCs w:val="28"/>
          <w:rFonts w:ascii="Calibri" w:eastAsia="宋体" w:hAnsi="宋体" w:hint="default"/>
        </w:rPr>
        <w:t>额外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的导游费用（部分免费券有使用限制）；</w:t>
      </w:r>
    </w:p>
    <w:p>
      <w:pPr>
        <w:pStyle w:val="PO26"/>
        <w:bidi w:val="0"/>
        <w:numPr>
          <w:ilvl w:val="1"/>
          <w:numId w:val="1"/>
        </w:numPr>
        <w:jc w:val="both"/>
        <w:spacing w:lineRule="auto" w:line="240" w:before="0" w:after="160"/>
        <w:ind w:left="126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计划</w:t>
      </w:r>
      <w:r>
        <w:rPr>
          <w:color w:val="FF0000"/>
          <w:position w:val="0"/>
          <w:sz w:val="28"/>
          <w:szCs w:val="28"/>
          <w:rFonts w:ascii="Calibri" w:eastAsia="宋体" w:hAnsi="宋体" w:hint="default"/>
        </w:rPr>
        <w:t>不清晰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，没有行之有效的推荐目标，功利性较强；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578" w:before="340" w:after="33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产品愿景和商业机会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定位：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为广大人民群众计划更全面更具体的旅游方案，让民众玩的放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心玩的开心；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商业机会：</w:t>
      </w:r>
    </w:p>
    <w:p>
      <w:pPr>
        <w:pStyle w:val="PO26"/>
        <w:bidi w:val="0"/>
        <w:numPr>
          <w:ilvl w:val="1"/>
          <w:numId w:val="2"/>
        </w:numPr>
        <w:jc w:val="both"/>
        <w:spacing w:lineRule="auto" w:line="24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用户群主要定位于某地广大人民群众，资源主要定位于某市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某旅游景点。消费群体和资源规模都足够大；</w:t>
      </w:r>
    </w:p>
    <w:p>
      <w:pPr>
        <w:pStyle w:val="PO26"/>
        <w:bidi w:val="0"/>
        <w:numPr>
          <w:ilvl w:val="1"/>
          <w:numId w:val="2"/>
        </w:numPr>
        <w:jc w:val="both"/>
        <w:spacing w:lineRule="auto" w:line="24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利用当地景点价格优势以及环境优势，为群众提供低于其它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渠道的价格和环境享受；</w:t>
      </w:r>
    </w:p>
    <w:p>
      <w:pPr>
        <w:pStyle w:val="PO26"/>
        <w:bidi w:val="0"/>
        <w:numPr>
          <w:ilvl w:val="1"/>
          <w:numId w:val="2"/>
        </w:numPr>
        <w:jc w:val="both"/>
        <w:spacing w:lineRule="auto" w:line="24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利用信息优势，确保可以提供更多更详细的旅游计划，并且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提供更多的选择；</w:t>
      </w:r>
    </w:p>
    <w:p>
      <w:pPr>
        <w:pStyle w:val="PO26"/>
        <w:bidi w:val="0"/>
        <w:numPr>
          <w:ilvl w:val="1"/>
          <w:numId w:val="2"/>
        </w:numPr>
        <w:jc w:val="both"/>
        <w:spacing w:lineRule="auto" w:line="24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针对某地的地方特点及大众群体的旅游特点，提供贴心、及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时、高效的推荐店家，景点，游玩场所等服务；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商业模式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广告费；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景点推荐排名；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578" w:before="340" w:after="33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用户分析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本电子商务网站主要服务两类用户：</w:t>
      </w:r>
    </w:p>
    <w:p>
      <w:pPr>
        <w:pStyle w:val="PO26"/>
        <w:bidi w:val="0"/>
        <w:numPr>
          <w:ilvl w:val="0"/>
          <w:numId w:val="4"/>
        </w:numPr>
        <w:jc w:val="both"/>
        <w:spacing w:lineRule="auto" w:line="360" w:before="0" w:after="160"/>
        <w:ind w:right="0" w:left="42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中年。</w:t>
      </w:r>
    </w:p>
    <w:p>
      <w:pPr>
        <w:pStyle w:val="PO26"/>
        <w:bidi w:val="0"/>
        <w:numPr>
          <w:ilvl w:val="1"/>
          <w:numId w:val="4"/>
        </w:numPr>
        <w:jc w:val="both"/>
        <w:spacing w:lineRule="auto" w:line="36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愿望：有方便经济全面的旅游计划；</w:t>
      </w:r>
    </w:p>
    <w:p>
      <w:pPr>
        <w:pStyle w:val="PO26"/>
        <w:bidi w:val="0"/>
        <w:numPr>
          <w:ilvl w:val="1"/>
          <w:numId w:val="4"/>
        </w:numPr>
        <w:jc w:val="both"/>
        <w:spacing w:lineRule="auto" w:line="36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消费观念：便宜、最好能有更好的体验； </w:t>
      </w:r>
    </w:p>
    <w:p>
      <w:pPr>
        <w:pStyle w:val="PO26"/>
        <w:bidi w:val="0"/>
        <w:numPr>
          <w:ilvl w:val="1"/>
          <w:numId w:val="4"/>
        </w:numPr>
        <w:jc w:val="both"/>
        <w:spacing w:lineRule="auto" w:line="36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经济能力：经济独立但需要养家，不能承担太多的旅游经费；</w:t>
      </w:r>
    </w:p>
    <w:p>
      <w:pPr>
        <w:pStyle w:val="PO26"/>
        <w:bidi w:val="0"/>
        <w:numPr>
          <w:ilvl w:val="1"/>
          <w:numId w:val="4"/>
        </w:numPr>
        <w:jc w:val="both"/>
        <w:spacing w:lineRule="auto" w:line="36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计算机能力：熟练上网和网购，笔记本电脑和宿舍上网的普及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度也相当高；</w:t>
      </w:r>
    </w:p>
    <w:p>
      <w:pPr>
        <w:pStyle w:val="PO26"/>
        <w:bidi w:val="0"/>
        <w:numPr>
          <w:ilvl w:val="1"/>
          <w:numId w:val="4"/>
        </w:numPr>
        <w:jc w:val="both"/>
        <w:spacing w:lineRule="auto" w:line="36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其它：有较大的旅游欲望，现代人压力比较大，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需要短期放松；</w:t>
      </w:r>
    </w:p>
    <w:p>
      <w:pPr>
        <w:pStyle w:val="PO26"/>
        <w:bidi w:val="0"/>
        <w:numPr>
          <w:ilvl w:val="0"/>
          <w:numId w:val="4"/>
        </w:numPr>
        <w:jc w:val="both"/>
        <w:spacing w:lineRule="auto" w:line="360" w:before="0" w:after="160"/>
        <w:ind w:right="0" w:left="42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某旅游景点。</w:t>
      </w:r>
    </w:p>
    <w:p>
      <w:pPr>
        <w:pStyle w:val="PO26"/>
        <w:bidi w:val="0"/>
        <w:numPr>
          <w:ilvl w:val="1"/>
          <w:numId w:val="4"/>
        </w:numPr>
        <w:jc w:val="both"/>
        <w:spacing w:lineRule="auto" w:line="36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痛处：传统的销售渠道已饱和、竞争激烈、受新兴电子商务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冲击大。；</w:t>
      </w:r>
    </w:p>
    <w:p>
      <w:pPr>
        <w:pStyle w:val="PO26"/>
        <w:bidi w:val="0"/>
        <w:numPr>
          <w:ilvl w:val="1"/>
          <w:numId w:val="4"/>
        </w:numPr>
        <w:jc w:val="both"/>
        <w:spacing w:lineRule="auto" w:line="36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计算机能力：很一般，尤其不熟悉互联网和电子商务，无法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利于其扩大渠道；</w:t>
      </w:r>
    </w:p>
    <w:p>
      <w:pPr>
        <w:pStyle w:val="PO26"/>
        <w:bidi w:val="0"/>
        <w:numPr>
          <w:ilvl w:val="1"/>
          <w:numId w:val="4"/>
        </w:numPr>
        <w:jc w:val="both"/>
        <w:spacing w:lineRule="auto" w:line="360" w:before="0" w:after="160"/>
        <w:ind w:left="840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优势：丰富的景点经营经验，拥有成熟的接待游客经验，可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以提供绝对高性价比的门票，环境和安全都有保障；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578" w:before="340" w:after="33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技术分析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采用的技术架构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以基于互联网的WEB应用方式提供服务。前端技术主要采用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Bootstrap、Ajax，后端技术采用LAMP体系，可免费快速完成开发；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平台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初步计划采用亚马逊的云服务平台支撑应用软件，早期可以使用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一年的免费体验，业务成熟后转向收费（价格不贵）；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软硬件、网络支持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由于所选支撑平台均是强大的服务商，能满足早期的需求，无需额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外的支持；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技术难点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无开发技术难点；产品设计上重点考虑如何符合大众群体特征提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供快速商品定位，同时支持灵活的商品推荐，比如节日、重要事件等；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578" w:before="340" w:after="33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资源需求估计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人员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产品经理：依据本产品的商业背景和定位，吸取已有电商网站的成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熟经验，结合地方特点和用户特征，设计符合广大人民群众旅游模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式的产品。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IT技术专家：快速架构和实现产品，同时确保对未来快速增长交易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量及灵活变化的旅游计划展示的支持。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人民代表：有较多旅游经历的群众代表，帮助分析大众群体的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旅游和消费特征；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景点代表：具有标志性的建筑，游客知名度较高；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资金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产品验证阶段前暂无需要。完成产品验证后，需要资金集中快速完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成商家扩充和宣传推广；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设备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一台本地PC服务器；</w:t>
      </w:r>
    </w:p>
    <w:p>
      <w:pPr>
        <w:pStyle w:val="PO16"/>
        <w:numPr>
          <w:ilvl w:val="0"/>
          <w:numId w:val="0"/>
        </w:numPr>
        <w:jc w:val="center"/>
        <w:spacing w:lineRule="auto" w:line="312" w:before="240" w:after="60"/>
        <w:ind w:right="0" w:firstLine="0"/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mbria" w:eastAsia="宋体" w:hAnsi="宋体" w:hint="default"/>
        </w:rPr>
        <w:t>设施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10平米以内的固定工作场地；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578" w:before="340" w:after="33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风险分析</w:t>
      </w:r>
    </w:p>
    <w:tbl>
      <w:tblID w:val="0"/>
      <w:tblPr>
        <w:tblStyle w:val="PO3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top w:w="57" w:type="dxa"/>
          <w:right w:w="57" w:type="dxa"/>
          <w:bottom w:w="57" w:type="dxa"/>
        </w:tblCellMar>
        <w:tblW w:w="8421" w:type="dxa"/>
        <w:tblLook w:val="000000" w:firstRow="0" w:lastRow="0" w:firstColumn="0" w:lastColumn="0" w:noHBand="0" w:noVBand="0"/>
        <w:tblLayout w:type="fixed"/>
      </w:tblPr>
      <w:tblGrid>
        <w:gridCol w:w="534"/>
        <w:gridCol w:w="1650"/>
        <w:gridCol w:w="4819"/>
        <w:gridCol w:w="1418"/>
      </w:tblGrid>
      <w:tr>
        <w:trPr>
          <w:hidden w:val="0"/>
        </w:trPr>
        <w:tc>
          <w:tcPr>
            <w:tcW w:type="dxa" w:w="534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编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号</w:t>
            </w:r>
          </w:p>
        </w:tc>
        <w:tc>
          <w:tcPr>
            <w:tcW w:type="dxa" w:w="165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事件描述</w:t>
            </w:r>
          </w:p>
        </w:tc>
        <w:tc>
          <w:tcPr>
            <w:tcW w:type="dxa" w:w="4819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根本原因</w:t>
            </w:r>
          </w:p>
        </w:tc>
        <w:tc>
          <w:tcPr>
            <w:tcW w:type="dxa" w:w="141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类型</w:t>
            </w:r>
          </w:p>
        </w:tc>
      </w:tr>
      <w:tr>
        <w:trPr>
          <w:hidden w:val="0"/>
        </w:trPr>
        <w:tc>
          <w:tcPr>
            <w:tcW w:type="dxa" w:w="534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>R1</w:t>
            </w:r>
          </w:p>
        </w:tc>
        <w:tc>
          <w:tcPr>
            <w:tcW w:type="dxa" w:w="165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>群众认可度不高</w:t>
            </w:r>
          </w:p>
        </w:tc>
        <w:tc>
          <w:tcPr>
            <w:tcW w:type="dxa" w:w="4819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>没有足够区别于已有旅游服务的吸引力</w:t>
            </w:r>
          </w:p>
        </w:tc>
        <w:tc>
          <w:tcPr>
            <w:tcW w:type="dxa" w:w="141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>商业风险</w:t>
            </w:r>
          </w:p>
        </w:tc>
      </w:tr>
      <w:tr>
        <w:trPr>
          <w:hidden w:val="0"/>
        </w:trPr>
        <w:tc>
          <w:tcPr>
            <w:tcW w:type="dxa" w:w="534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>R2</w:t>
            </w:r>
          </w:p>
        </w:tc>
        <w:tc>
          <w:tcPr>
            <w:tcW w:type="dxa" w:w="165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>商家参与度不高</w:t>
            </w:r>
          </w:p>
        </w:tc>
        <w:tc>
          <w:tcPr>
            <w:tcW w:type="dxa" w:w="4819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>商家对电子商务的了解不够、信心不足，及需要做一</w:t>
            </w:r>
            <w:r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>定的配合缺乏意愿</w:t>
            </w:r>
          </w:p>
        </w:tc>
        <w:tc>
          <w:tcPr>
            <w:tcW w:type="dxa" w:w="141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>用户风险</w:t>
            </w:r>
          </w:p>
        </w:tc>
      </w:tr>
      <w:tr>
        <w:trPr>
          <w:hidden w:val="0"/>
        </w:trPr>
        <w:tc>
          <w:tcPr>
            <w:tcW w:type="dxa" w:w="534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R3</w:t>
            </w:r>
          </w:p>
        </w:tc>
        <w:tc>
          <w:tcPr>
            <w:tcW w:type="dxa" w:w="165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无法实现给用户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提供更多更方便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优惠的选择</w:t>
            </w:r>
          </w:p>
        </w:tc>
        <w:tc>
          <w:tcPr>
            <w:tcW w:type="dxa" w:w="4819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需要收集大量资料，反复核对，与景点方商谈，计划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出多条选择，并且考虑是否方便，是否最优惠，是否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能提供更多的计划</w:t>
            </w:r>
          </w:p>
        </w:tc>
        <w:tc>
          <w:tcPr>
            <w:tcW w:type="dxa" w:w="141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流程风险</w:t>
            </w:r>
          </w:p>
        </w:tc>
      </w:tr>
      <w:tr>
        <w:trPr>
          <w:hidden w:val="0"/>
        </w:trPr>
        <w:tc>
          <w:tcPr>
            <w:tcW w:type="dxa" w:w="534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R4</w:t>
            </w:r>
          </w:p>
        </w:tc>
        <w:tc>
          <w:tcPr>
            <w:tcW w:type="dxa" w:w="165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人员不能及时到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位</w:t>
            </w:r>
          </w:p>
        </w:tc>
        <w:tc>
          <w:tcPr>
            <w:tcW w:type="dxa" w:w="4819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无法快速组建技术团队</w:t>
            </w:r>
          </w:p>
        </w:tc>
        <w:tc>
          <w:tcPr>
            <w:tcW w:type="dxa" w:w="141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人员风险</w:t>
            </w:r>
          </w:p>
        </w:tc>
      </w:tr>
      <w:tr>
        <w:trPr>
          <w:hidden w:val="0"/>
        </w:trPr>
        <w:tc>
          <w:tcPr>
            <w:tcW w:type="dxa" w:w="534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R5</w:t>
            </w:r>
          </w:p>
        </w:tc>
        <w:tc>
          <w:tcPr>
            <w:tcW w:type="dxa" w:w="165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无法获得足够的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推广费用</w:t>
            </w:r>
          </w:p>
        </w:tc>
        <w:tc>
          <w:tcPr>
            <w:tcW w:type="dxa" w:w="4819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产品快速推广时，需要大量的资金，目前团队不具备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，需要寻找投资</w:t>
            </w:r>
          </w:p>
        </w:tc>
        <w:tc>
          <w:tcPr>
            <w:tcW w:type="dxa" w:w="141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39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资金风险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578" w:before="340" w:after="33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收益分析</w:t>
      </w:r>
    </w:p>
    <w:p>
      <w:pPr>
        <w:numPr>
          <w:ilvl w:val="0"/>
          <w:numId w:val="0"/>
        </w:numPr>
        <w:jc w:val="both"/>
        <w:spacing w:lineRule="auto" w:line="360" w:before="0" w:after="160"/>
        <w:ind w:left="720" w:right="0" w:firstLine="0"/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t>财务分析的估算结果如下，几项重要参数说明：</w:t>
      </w:r>
    </w:p>
    <w:p>
      <w:pPr>
        <w:bidi w:val="0"/>
        <w:numPr>
          <w:ilvl w:val="0"/>
          <w:numId w:val="5"/>
        </w:numPr>
        <w:jc w:val="left"/>
        <w:spacing w:lineRule="auto" w:line="360" w:before="0" w:after="160"/>
        <w:ind w:left="1080" w:right="0" w:hanging="360"/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t>折现率假设为10%，这是比较通用的一个值；</w:t>
      </w:r>
    </w:p>
    <w:p>
      <w:pPr>
        <w:bidi w:val="0"/>
        <w:numPr>
          <w:ilvl w:val="0"/>
          <w:numId w:val="5"/>
        </w:numPr>
        <w:jc w:val="left"/>
        <w:spacing w:lineRule="auto" w:line="360" w:before="0" w:after="160"/>
        <w:ind w:left="1080" w:right="0" w:hanging="360"/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t>项目长周期设为5年；</w:t>
      </w:r>
    </w:p>
    <w:p>
      <w:pPr>
        <w:bidi w:val="0"/>
        <w:numPr>
          <w:ilvl w:val="0"/>
          <w:numId w:val="5"/>
        </w:numPr>
        <w:jc w:val="left"/>
        <w:spacing w:lineRule="auto" w:line="360" w:before="0" w:after="160"/>
        <w:ind w:left="1080" w:right="0" w:hanging="360"/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t>首年成本为上面资源分析中的成本加10万元推广成本，以</w:t>
      </w:r>
      <w:r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t>后四年假设升级维护费和推广为每年20万；</w:t>
      </w:r>
    </w:p>
    <w:p>
      <w:pPr>
        <w:bidi w:val="0"/>
        <w:numPr>
          <w:ilvl w:val="0"/>
          <w:numId w:val="5"/>
        </w:numPr>
        <w:jc w:val="left"/>
        <w:spacing w:lineRule="auto" w:line="360" w:before="0" w:after="160"/>
        <w:ind w:left="1080" w:right="0" w:hanging="360"/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t>收益假设第一年为10万，第2年为30万，第3年为60万，</w:t>
      </w:r>
      <w:r>
        <w:rPr>
          <w:color w:val="auto"/>
          <w:position w:val="0"/>
          <w:sz w:val="28"/>
          <w:szCs w:val="28"/>
          <w:rFonts w:ascii="仿宋_GB2312" w:eastAsia="仿宋_GB2312" w:hAnsi="仿宋_GB2312" w:hint="default"/>
        </w:rPr>
        <w:t>第4年为100万，第5年为150万；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02" w:type="dxa"/>
        <w:tblInd w:w="-1045" w:type="dxa"/>
        <w:tblLook w:val="000000" w:firstRow="0" w:lastRow="0" w:firstColumn="0" w:lastColumn="0" w:noHBand="0" w:noVBand="0"/>
        <w:tblLayout w:type="fixed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rPr>
          <w:trHeight w:hRule="atleast" w:val="405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double" w:color="auto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折现率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double" w:color="auto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10%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double" w:color="auto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double" w:color="auto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double" w:color="auto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double" w:color="auto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double" w:color="auto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2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3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4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5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汇总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成本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396000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200000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200000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200000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200000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折现因子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0.91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0.83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0.75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0.68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0.62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折现成本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360360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166000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150000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136000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124000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936360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累计成本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360360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526360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676360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812360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936360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收益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100000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300000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600000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1000000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1500000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折现因子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0.91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0.83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0.75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0.68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0.62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折现收益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91000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249000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450000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680000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930000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2400000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累计收益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91000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340000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790000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1470000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2400000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折现收益-</w:t>
            </w: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折现成本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-269360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83000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300000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544000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806000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1463640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累计收益-</w:t>
            </w: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累计成本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-269360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-186360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113640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657640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1463640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净现值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1463640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single" w:color="auto" w:sz="8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投资收益</w:t>
            </w: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率</w:t>
            </w:r>
          </w:p>
        </w:tc>
        <w:tc>
          <w:tcPr>
            <w:tcW w:type="dxa" w:w="1417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156%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27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196"/>
            <w:vAlign w:val="center"/>
            <w:tcBorders>
              <w:bottom w:val="single" w:color="auto" w:sz="8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812"/>
            <w:vAlign w:val="center"/>
            <w:tcBorders>
              <w:bottom w:val="single" w:color="auto" w:sz="8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  <w:tr>
        <w:trPr>
          <w:trHeight w:hRule="atleast" w:val="390"/>
          <w:hidden w:val="0"/>
        </w:trPr>
        <w:tc>
          <w:tcPr>
            <w:tcW w:type="dxa" w:w="1583"/>
            <w:vAlign w:val="center"/>
            <w:tcBorders>
              <w:bottom w:val="double" w:color="auto" w:sz="6"/>
              <w:left w:val="double" w:color="auto" w:sz="6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投资回收</w:t>
            </w: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期</w:t>
            </w:r>
          </w:p>
        </w:tc>
        <w:tc>
          <w:tcPr>
            <w:tcW w:type="dxa" w:w="1417"/>
            <w:vAlign w:val="center"/>
            <w:tcBorders>
              <w:bottom w:val="double" w:color="auto" w:sz="6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第3年</w:t>
            </w:r>
          </w:p>
        </w:tc>
        <w:tc>
          <w:tcPr>
            <w:tcW w:type="dxa" w:w="1559"/>
            <w:vAlign w:val="center"/>
            <w:tcBorders>
              <w:bottom w:val="double" w:color="auto" w:sz="6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276"/>
            <w:vAlign w:val="center"/>
            <w:tcBorders>
              <w:bottom w:val="double" w:color="auto" w:sz="6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559"/>
            <w:vAlign w:val="center"/>
            <w:tcBorders>
              <w:bottom w:val="double" w:color="auto" w:sz="6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196"/>
            <w:vAlign w:val="center"/>
            <w:tcBorders>
              <w:bottom w:val="double" w:color="auto" w:sz="6"/>
              <w:left w:val="nil" w:color="auto"/>
              <w:right w:val="single" w:color="auto" w:sz="8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  <w:tc>
          <w:tcPr>
            <w:tcW w:type="dxa" w:w="1812"/>
            <w:vAlign w:val="center"/>
            <w:tcBorders>
              <w:bottom w:val="double" w:color="auto" w:sz="6"/>
              <w:left w:val="nil" w:color="auto"/>
              <w:right w:val="double" w:color="auto" w:sz="6"/>
              <w:top w:val="nil" w:color="auto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8"/>
                <w:szCs w:val="28"/>
                <w:rFonts w:ascii="仿宋_GB2312" w:eastAsia="宋体" w:hAnsi="宋体" w:hint="default"/>
              </w:rPr>
              <w:t>　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36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2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780" w:hanging="36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6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8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10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52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ind w:left="294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36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378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ind w:left="420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8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8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2">
      <w:lvlJc w:val="left"/>
      <w:numFmt w:val="bullet"/>
      <w:start w:val="1"/>
      <w:suff w:val="tab"/>
      <w:pPr>
        <w:ind w:left="12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multilevel"/>
    <w:nsid w:val="2F000004"/>
    <w:tmpl w:val="1F002570"/>
    <w:lvl w:ilvl="0">
      <w:lvlJc w:val="left"/>
      <w:numFmt w:val="decimal"/>
      <w:start w:val="1"/>
      <w:suff w:val="tab"/>
      <w:pPr>
        <w:ind w:left="108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56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98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40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82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324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66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408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500" w:hanging="420"/>
        <w:jc w:val="both"/>
      </w:pPr>
      <w:lvlText w:val="%9.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Calibri" w:eastAsia="宋体" w:hAnsi="Calibri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basedOn w:val="PO1"/>
    <w:next w:val="PO1"/>
    <w:link w:val="PO154"/>
    <w:qFormat/>
    <w:uiPriority w:val="6"/>
    <w:pPr>
      <w:autoSpaceDE w:val="1"/>
      <w:autoSpaceDN w:val="1"/>
      <w:jc w:val="center"/>
      <w:widowControl/>
      <w:wordWrap/>
    </w:pPr>
    <w:rPr>
      <w:rFonts w:ascii="Cambria" w:eastAsia="宋体" w:hAnsi="Cambria"/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basedOn w:val="PO1"/>
    <w:next w:val="PO1"/>
    <w:link w:val="PO153"/>
    <w:qFormat/>
    <w:uiPriority w:val="16"/>
    <w:pPr>
      <w:autoSpaceDE w:val="1"/>
      <w:autoSpaceDN w:val="1"/>
      <w:jc w:val="center"/>
      <w:widowControl/>
      <w:wordWrap/>
    </w:pPr>
    <w:rPr>
      <w:rFonts w:ascii="Cambria" w:eastAsia="宋体" w:hAnsi="Cambria"/>
      <w:b/>
      <w:shd w:val="clear"/>
      <w:sz w:val="32"/>
      <w:szCs w:val="32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1 Char"/>
    <w:basedOn w:val="PO2"/>
    <w:link w:val="PO7"/>
    <w:uiPriority w:val="152"/>
    <w:rPr>
      <w:b/>
      <w:shd w:val="clear"/>
      <w:sz w:val="44"/>
      <w:szCs w:val="44"/>
      <w:w w:val="100"/>
    </w:rPr>
  </w:style>
  <w:style w:customStyle="1" w:styleId="PO153" w:type="character">
    <w:name w:val="副标题 Char"/>
    <w:basedOn w:val="PO2"/>
    <w:link w:val="PO16"/>
    <w:uiPriority w:val="153"/>
    <w:rPr>
      <w:rFonts w:ascii="Cambria" w:eastAsia="宋体" w:hAnsi="Cambria"/>
      <w:b/>
      <w:shd w:val="clear"/>
      <w:sz w:val="32"/>
      <w:szCs w:val="32"/>
      <w:w w:val="100"/>
    </w:rPr>
  </w:style>
  <w:style w:customStyle="1" w:styleId="PO154" w:type="character">
    <w:name w:val="标题 Char"/>
    <w:basedOn w:val="PO2"/>
    <w:link w:val="PO6"/>
    <w:uiPriority w:val="154"/>
    <w:rPr>
      <w:rFonts w:ascii="Cambria" w:eastAsia="宋体" w:hAnsi="Cambria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2616</Characters>
  <CharactersWithSpaces>0</CharactersWithSpaces>
  <DocSecurity>0</DocSecurity>
  <HyperlinksChanged>false</HyperlinksChanged>
  <Lines>18</Lines>
  <LinksUpToDate>false</LinksUpToDate>
  <Pages>8</Pages>
  <Paragraphs>5</Paragraphs>
  <Words>391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zhaosheng</dc:creator>
  <cp:lastModifiedBy/>
  <dcterms:modified xsi:type="dcterms:W3CDTF">2019-02-28T07:52:36Z</dcterms:modified>
</cp:coreProperties>
</file>