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800100</wp:posOffset>
            </wp:positionV>
            <wp:extent cx="4876800" cy="9271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7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</wp:posOffset>
            </wp:positionH>
            <wp:positionV relativeFrom="page">
              <wp:posOffset>889000</wp:posOffset>
            </wp:positionV>
            <wp:extent cx="759460" cy="83266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8326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4678680</wp:posOffset>
            </wp:positionH>
            <wp:positionV relativeFrom="page">
              <wp:posOffset>808990</wp:posOffset>
            </wp:positionV>
            <wp:extent cx="718820" cy="90686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9068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56" w:lineRule="exact" w:before="0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9" w:history="1">
          <w:r>
            <w:rPr>
              <w:rStyle w:val="Hyperlink"/>
            </w:rPr>
            <w:t>Journal of Experimental Child Psychology 204 (2021) 105060</w:t>
          </w:r>
        </w:hyperlink>
      </w:r>
    </w:p>
    <w:p>
      <w:pPr>
        <w:autoSpaceDN w:val="0"/>
        <w:autoSpaceDE w:val="0"/>
        <w:widowControl/>
        <w:spacing w:line="164" w:lineRule="exact" w:before="386" w:after="0"/>
        <w:ind w:left="0" w:right="0" w:firstLine="0"/>
        <w:jc w:val="center"/>
      </w:pPr>
      <w:r>
        <w:rPr>
          <w:rFonts w:ascii="AdvPSUnv" w:hAnsi="AdvPSUnv" w:eastAsia="AdvPSUnv"/>
          <w:b w:val="0"/>
          <w:i w:val="0"/>
          <w:color w:val="000000"/>
          <w:sz w:val="16"/>
        </w:rPr>
        <w:t>Contents lists available at</w:t>
      </w:r>
      <w:r>
        <w:rPr>
          <w:rFonts w:ascii="AdvPSUnv" w:hAnsi="AdvPSUnv" w:eastAsia="AdvPSUnv"/>
          <w:b w:val="0"/>
          <w:i w:val="0"/>
          <w:color w:val="007FAD"/>
          <w:sz w:val="16"/>
        </w:rPr>
        <w:t xml:space="preserve"> </w:t>
      </w:r>
      <w:r>
        <w:rPr>
          <w:rFonts w:ascii="AdvPSUnv" w:hAnsi="AdvPSUnv" w:eastAsia="AdvPSUnv"/>
          <w:b w:val="0"/>
          <w:i w:val="0"/>
          <w:color w:val="007FAD"/>
          <w:sz w:val="16"/>
        </w:rPr>
        <w:hyperlink r:id="rId10" w:history="1">
          <w:r>
            <w:rPr>
              <w:rStyle w:val="Hyperlink"/>
            </w:rPr>
            <w:t>ScienceDirect</w:t>
          </w:r>
        </w:hyperlink>
      </w:r>
    </w:p>
    <w:p>
      <w:pPr>
        <w:autoSpaceDN w:val="0"/>
        <w:autoSpaceDE w:val="0"/>
        <w:widowControl/>
        <w:spacing w:line="320" w:lineRule="exact" w:before="164" w:after="0"/>
        <w:ind w:left="1728" w:right="1728" w:firstLine="0"/>
        <w:jc w:val="center"/>
      </w:pPr>
      <w:r>
        <w:rPr>
          <w:w w:val="101.59833090645927"/>
          <w:rFonts w:ascii="AdvGulliv" w:hAnsi="AdvGulliv" w:eastAsia="AdvGulliv"/>
          <w:b w:val="0"/>
          <w:i w:val="0"/>
          <w:color w:val="000000"/>
          <w:sz w:val="28"/>
        </w:rPr>
        <w:t xml:space="preserve">Journal of Experimental Child </w:t>
      </w:r>
      <w:r>
        <w:rPr>
          <w:w w:val="101.59833090645927"/>
          <w:rFonts w:ascii="AdvGulliv" w:hAnsi="AdvGulliv" w:eastAsia="AdvGulliv"/>
          <w:b w:val="0"/>
          <w:i w:val="0"/>
          <w:color w:val="000000"/>
          <w:sz w:val="28"/>
        </w:rPr>
        <w:t>Psychology</w:t>
      </w:r>
    </w:p>
    <w:p>
      <w:pPr>
        <w:autoSpaceDN w:val="0"/>
        <w:autoSpaceDE w:val="0"/>
        <w:widowControl/>
        <w:spacing w:line="152" w:lineRule="exact" w:before="112" w:after="200"/>
        <w:ind w:left="0" w:right="0" w:firstLine="0"/>
        <w:jc w:val="center"/>
      </w:pPr>
      <w:r>
        <w:rPr>
          <w:rFonts w:ascii="AdvPSUnv" w:hAnsi="AdvPSUnv" w:eastAsia="AdvPSUnv"/>
          <w:b w:val="0"/>
          <w:i w:val="0"/>
          <w:color w:val="000000"/>
          <w:sz w:val="15"/>
        </w:rPr>
        <w:t xml:space="preserve">journal homepage: </w:t>
      </w:r>
      <w:r>
        <w:rPr>
          <w:rFonts w:ascii="AdvPSUnv" w:hAnsi="AdvPSUnv" w:eastAsia="AdvPSUnv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>www.elsevier.com/locate/jecp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843"/>
        <w:gridCol w:w="3843"/>
      </w:tblGrid>
      <w:tr>
        <w:trPr>
          <w:trHeight w:hRule="exact" w:val="1316"/>
        </w:trPr>
        <w:tc>
          <w:tcPr>
            <w:tcW w:type="dxa" w:w="5948"/>
            <w:tcBorders>
              <w:top w:sz="2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38" w:after="0"/>
              <w:ind w:left="0" w:right="432" w:firstLine="2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27"/>
              </w:rPr>
              <w:t xml:space="preserve">Fostering early numerical competencies by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27"/>
              </w:rPr>
              <w:t>playing conventional board games</w:t>
            </w:r>
          </w:p>
        </w:tc>
        <w:tc>
          <w:tcPr>
            <w:tcW w:type="dxa" w:w="1702"/>
            <w:tcBorders>
              <w:top w:sz="2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18" w:lineRule="exact" w:before="48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21"/>
        </w:rPr>
        <w:t>Hedwig Gasteiger</w:t>
      </w:r>
      <w:r>
        <w:rPr>
          <w:rFonts w:ascii="AdvGulliv" w:hAnsi="AdvGulliv" w:eastAsia="AdvGulliv"/>
          <w:b w:val="0"/>
          <w:i w:val="0"/>
          <w:color w:val="007FAD"/>
          <w:sz w:val="15"/>
        </w:rPr>
        <w:t>a</w:t>
      </w:r>
      <w:r>
        <w:rPr>
          <w:rFonts w:ascii="AdvGulliv" w:hAnsi="AdvGulliv" w:eastAsia="AdvGulliv"/>
          <w:b w:val="0"/>
          <w:i w:val="0"/>
          <w:color w:val="000000"/>
          <w:sz w:val="15"/>
        </w:rPr>
        <w:t>,</w:t>
      </w:r>
      <w:r>
        <w:rPr>
          <w:rFonts w:ascii="AdvGulliv" w:hAnsi="AdvGulliv" w:eastAsia="AdvGulliv"/>
          <w:b w:val="0"/>
          <w:i w:val="0"/>
          <w:color w:val="007FAD"/>
          <w:sz w:val="15"/>
        </w:rPr>
        <w:t>b</w:t>
      </w:r>
      <w:r>
        <w:rPr>
          <w:rFonts w:ascii="AdvGulliv" w:hAnsi="AdvGulliv" w:eastAsia="AdvGulliv"/>
          <w:b w:val="0"/>
          <w:i w:val="0"/>
          <w:color w:val="000000"/>
          <w:sz w:val="15"/>
        </w:rPr>
        <w:t>,</w:t>
      </w:r>
      <w:r>
        <w:rPr>
          <w:w w:val="101.74926122029622"/>
          <w:rFonts w:ascii="AdvCORRESAST" w:hAnsi="AdvCORRESAST" w:eastAsia="AdvCORRESAST"/>
          <w:b w:val="0"/>
          <w:i w:val="0"/>
          <w:color w:val="007FAD"/>
          <w:sz w:val="18"/>
        </w:rPr>
        <w:t>⇑</w:t>
      </w:r>
      <w:r>
        <w:rPr>
          <w:rFonts w:ascii="AdvGulliv" w:hAnsi="AdvGulliv" w:eastAsia="AdvGulliv"/>
          <w:b w:val="0"/>
          <w:i w:val="0"/>
          <w:color w:val="000000"/>
          <w:sz w:val="21"/>
        </w:rPr>
        <w:t>, Korbinian Moeller</w:t>
      </w:r>
      <w:r>
        <w:rPr>
          <w:rFonts w:ascii="AdvGulliv" w:hAnsi="AdvGulliv" w:eastAsia="AdvGulliv"/>
          <w:b w:val="0"/>
          <w:i w:val="0"/>
          <w:color w:val="007FAD"/>
          <w:sz w:val="15"/>
        </w:rPr>
        <w:t>c</w:t>
      </w:r>
      <w:r>
        <w:rPr>
          <w:rFonts w:ascii="AdvGulliv" w:hAnsi="AdvGulliv" w:eastAsia="AdvGulliv"/>
          <w:b w:val="0"/>
          <w:i w:val="0"/>
          <w:color w:val="000000"/>
          <w:sz w:val="15"/>
        </w:rPr>
        <w:t>,</w:t>
      </w:r>
      <w:r>
        <w:rPr>
          <w:rFonts w:ascii="AdvGulliv" w:hAnsi="AdvGulliv" w:eastAsia="AdvGulliv"/>
          <w:b w:val="0"/>
          <w:i w:val="0"/>
          <w:color w:val="007FAD"/>
          <w:sz w:val="15"/>
        </w:rPr>
        <w:t>d</w:t>
      </w:r>
      <w:r>
        <w:rPr>
          <w:rFonts w:ascii="AdvGulliv" w:hAnsi="AdvGulliv" w:eastAsia="AdvGulliv"/>
          <w:b w:val="0"/>
          <w:i w:val="0"/>
          <w:color w:val="000000"/>
          <w:sz w:val="15"/>
        </w:rPr>
        <w:t>,</w:t>
      </w:r>
      <w:r>
        <w:rPr>
          <w:rFonts w:ascii="AdvGulliv" w:hAnsi="AdvGulliv" w:eastAsia="AdvGulliv"/>
          <w:b w:val="0"/>
          <w:i w:val="0"/>
          <w:color w:val="007FAD"/>
          <w:sz w:val="15"/>
        </w:rPr>
        <w:t>e</w:t>
      </w:r>
      <w:r>
        <w:rPr>
          <w:rFonts w:ascii="AdvGulliv" w:hAnsi="AdvGulliv" w:eastAsia="AdvGulliv"/>
          <w:b w:val="0"/>
          <w:i w:val="0"/>
          <w:color w:val="000000"/>
          <w:sz w:val="15"/>
        </w:rPr>
        <w:t>,</w:t>
      </w:r>
      <w:r>
        <w:rPr>
          <w:rFonts w:ascii="AdvGulliv" w:hAnsi="AdvGulliv" w:eastAsia="AdvGulliv"/>
          <w:b w:val="0"/>
          <w:i w:val="0"/>
          <w:color w:val="007FAD"/>
          <w:sz w:val="15"/>
        </w:rPr>
        <w:t>f</w:t>
      </w:r>
    </w:p>
    <w:p>
      <w:pPr>
        <w:autoSpaceDN w:val="0"/>
        <w:autoSpaceDE w:val="0"/>
        <w:widowControl/>
        <w:spacing w:line="172" w:lineRule="exact" w:before="86" w:after="192"/>
        <w:ind w:left="6" w:right="144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9"/>
        </w:rPr>
        <w:t>a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Department of Mathematics, Osnabrück University, 49076 Osnabrück, Germany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9"/>
        </w:rPr>
        <w:t>b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Center for Early Childhood Development and Educational Research (CEDER), Osnabrück University, 49074 Osnabrück, Germany </w:t>
      </w:r>
      <w:r>
        <w:rPr>
          <w:rFonts w:ascii="AdvGulliv" w:hAnsi="AdvGulliv" w:eastAsia="AdvGulliv"/>
          <w:b w:val="0"/>
          <w:i w:val="0"/>
          <w:color w:val="000000"/>
          <w:sz w:val="9"/>
        </w:rPr>
        <w:t>c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Centre for Mathematical Cognition, Loughborough University, Loughborough LE11 3TU, UK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9"/>
        </w:rPr>
        <w:t>d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Leibniz-Institut für Wissensmedien, 72076 Tübingen, Germany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9"/>
        </w:rPr>
        <w:t>e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Department of Psychology, University of Tübingen, 72074 Tübingen, Germany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9"/>
        </w:rPr>
        <w:t>f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LEAD Graduate School and Research Network, University of Tübingen, 72074 Tübingen, Germany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rPr>
          <w:trHeight w:hRule="exact" w:val="598"/>
        </w:trPr>
        <w:tc>
          <w:tcPr>
            <w:tcW w:type="dxa" w:w="1168"/>
            <w:tcBorders>
              <w:top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4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8"/>
              </w:rPr>
              <w:t>a r t i c l e</w:t>
            </w:r>
          </w:p>
        </w:tc>
        <w:tc>
          <w:tcPr>
            <w:tcW w:type="dxa" w:w="1496"/>
            <w:tcBorders>
              <w:top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4" w:after="0"/>
              <w:ind w:left="11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8"/>
              </w:rPr>
              <w:t>i n f o</w:t>
            </w:r>
          </w:p>
        </w:tc>
        <w:tc>
          <w:tcPr>
            <w:tcW w:type="dxa" w:w="4986"/>
            <w:gridSpan w:val="7"/>
            <w:tcBorders>
              <w:top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45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8"/>
              </w:rPr>
              <w:t>a b s t r a c t</w:t>
            </w:r>
          </w:p>
        </w:tc>
      </w:tr>
      <w:tr>
        <w:trPr>
          <w:trHeight w:hRule="exact" w:val="224"/>
        </w:trPr>
        <w:tc>
          <w:tcPr>
            <w:tcW w:type="dxa" w:w="2664"/>
            <w:gridSpan w:val="2"/>
            <w:vMerge w:val="restart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576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Article history: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Received 12 October 2018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 xml:space="preserve">Revised 23 October 2020 </w:t>
            </w:r>
            <w:r>
              <w:br/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Available online 2 January 2021</w:t>
            </w:r>
          </w:p>
        </w:tc>
        <w:tc>
          <w:tcPr>
            <w:tcW w:type="dxa" w:w="4986"/>
            <w:gridSpan w:val="7"/>
            <w:tcBorders>
              <w:top w:sz="2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" w:after="0"/>
              <w:ind w:left="454" w:right="0" w:firstLine="0"/>
              <w:jc w:val="left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Recent evidence indicates that playing numerical board games is</w:t>
            </w:r>
          </w:p>
        </w:tc>
      </w:tr>
      <w:tr>
        <w:trPr>
          <w:trHeight w:hRule="exact" w:val="200"/>
        </w:trPr>
        <w:tc>
          <w:tcPr>
            <w:tcW w:type="dxa" w:w="1708"/>
            <w:gridSpan w:val="2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1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0" w:right="54" w:firstLine="0"/>
              <w:jc w:val="right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beneficial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0" w:right="0" w:firstLine="0"/>
              <w:jc w:val="center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for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0" w:right="0" w:firstLine="0"/>
              <w:jc w:val="center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the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0" w:right="0" w:firstLine="0"/>
              <w:jc w:val="center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numerical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0" w:right="0" w:firstLine="0"/>
              <w:jc w:val="center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development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0" w:right="0" w:firstLine="0"/>
              <w:jc w:val="center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of</w:t>
            </w:r>
          </w:p>
        </w:tc>
        <w:tc>
          <w:tcPr>
            <w:tcW w:type="dxa" w:w="9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0" w:after="0"/>
              <w:ind w:left="84" w:right="0" w:firstLine="0"/>
              <w:jc w:val="left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preschoolers.</w:t>
            </w:r>
          </w:p>
        </w:tc>
      </w:tr>
      <w:tr>
        <w:trPr>
          <w:trHeight w:hRule="exact" w:val="358"/>
        </w:trPr>
        <w:tc>
          <w:tcPr>
            <w:tcW w:type="dxa" w:w="1708"/>
            <w:gridSpan w:val="2"/>
            <w:vMerge/>
            <w:tcBorders>
              <w:top w:sz="2.399999999999636" w:val="single" w:color="#000000"/>
            </w:tcBorders>
          </w:tcPr>
          <w:p/>
        </w:tc>
        <w:tc>
          <w:tcPr>
            <w:tcW w:type="dxa" w:w="498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454" w:right="0" w:firstLine="0"/>
              <w:jc w:val="left"/>
            </w:pP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 xml:space="preserve">However, board games used in these studies were often specifically </w:t>
            </w:r>
            <w:r>
              <w:rPr>
                <w:w w:val="96.92340850830078"/>
                <w:rFonts w:ascii="AdvGulliv" w:hAnsi="AdvGulliv" w:eastAsia="AdvGulliv"/>
                <w:b w:val="0"/>
                <w:i w:val="0"/>
                <w:color w:val="000000"/>
                <w:sz w:val="15"/>
              </w:rPr>
              <w:t>developed for training numerical skills. Therefore, we examined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84"/>
        <w:ind w:left="0" w:right="0"/>
      </w:pPr>
    </w:p>
    <w:p>
      <w:pPr>
        <w:sectPr>
          <w:pgSz w:w="9354" w:h="13606"/>
          <w:pgMar w:top="436" w:right="822" w:bottom="534" w:left="846" w:header="720" w:footer="720" w:gutter="0"/>
          <w:cols w:space="720" w:num="1" w:equalWidth="0"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34" w:after="0"/>
        <w:ind w:left="6" w:right="1008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Keywords: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Early numerical competencies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Board games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Intervention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Preschoolers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13"/>
        </w:rPr>
        <w:t>Informal learning</w:t>
      </w:r>
    </w:p>
    <w:p>
      <w:pPr>
        <w:sectPr>
          <w:type w:val="continuous"/>
          <w:pgSz w:w="9354" w:h="13606"/>
          <w:pgMar w:top="436" w:right="822" w:bottom="534" w:left="846" w:header="720" w:footer="720" w:gutter="0"/>
          <w:cols w:space="720" w:num="2" w:equalWidth="0"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14"/>
        <w:ind w:left="226" w:right="30" w:firstLine="0"/>
        <w:jc w:val="both"/>
      </w:pP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whether similar beneficial effects could be observed for playing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conventional board games such as Parcheesi. In an intervention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study with seven 30-min training sessions over a period of 4 weeks,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we observed that 4- to 6-year-old children (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M</w:t>
      </w:r>
      <w:r>
        <w:rPr>
          <w:w w:val="101.43482208251953"/>
          <w:rFonts w:ascii="AdvGulliv" w:hAnsi="AdvGulliv" w:eastAsia="AdvGulliv"/>
          <w:b w:val="0"/>
          <w:i w:val="0"/>
          <w:color w:val="000000"/>
          <w:sz w:val="10"/>
        </w:rPr>
        <w:t>age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 = 4 years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11 months) who played conventional board games with traditional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number dice (with dot faces numbered from one to six) benefitted</w:t>
      </w:r>
    </w:p>
    <w:p>
      <w:pPr>
        <w:sectPr>
          <w:type w:val="nextColumn"/>
          <w:pgSz w:w="9354" w:h="13606"/>
          <w:pgMar w:top="436" w:right="822" w:bottom="534" w:left="846" w:header="720" w:footer="720" w:gutter="0"/>
          <w:cols w:space="720" w:num="2" w:equalWidth="0"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tabs>
          <w:tab w:pos="3124" w:val="left"/>
        </w:tabs>
        <w:autoSpaceDE w:val="0"/>
        <w:widowControl/>
        <w:spacing w:line="190" w:lineRule="exact" w:before="0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Counting skills 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more from the board games than children who played board games 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with color or non-numerical symbol dice. Pretest–posttest compar-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isons indicated differential effects on counting skills and the ability 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to recognize and use structures. Beyond these immediate training 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effects observed in posttest, the differential beneficial effects of 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playing board games using traditional dot dice on recognizing 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and using structures was still present in a follow-up test 1 year 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after the intervention. Thus, playing conventional board games 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using traditional number dice seems to be an effective low-</w:t>
      </w:r>
      <w:r>
        <w:tab/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threshold intervention to foster early numerical competencies.</w:t>
      </w:r>
    </w:p>
    <w:p>
      <w:pPr>
        <w:autoSpaceDN w:val="0"/>
        <w:autoSpaceDE w:val="0"/>
        <w:widowControl/>
        <w:spacing w:line="188" w:lineRule="exact" w:before="10" w:after="0"/>
        <w:ind w:left="3024" w:right="20" w:firstLine="0"/>
        <w:jc w:val="right"/>
      </w:pPr>
      <w:r>
        <w:rPr>
          <w:w w:val="96.92340850830078"/>
          <w:rFonts w:ascii="AdvPSSym" w:hAnsi="AdvPSSym" w:eastAsia="AdvPSSym"/>
          <w:b w:val="0"/>
          <w:i w:val="0"/>
          <w:color w:val="000000"/>
          <w:sz w:val="15"/>
        </w:rPr>
        <w:t>�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 xml:space="preserve"> 2020 The Author(s). Published by Elsevier Inc. This is an open </w:t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access article under the CC BY license (</w:t>
      </w:r>
      <w:r>
        <w:rPr>
          <w:w w:val="96.92340850830078"/>
          <w:rFonts w:ascii="AdvGulliv" w:hAnsi="AdvGulliv" w:eastAsia="AdvGulliv"/>
          <w:b w:val="0"/>
          <w:i w:val="0"/>
          <w:color w:val="007FAD"/>
          <w:sz w:val="15"/>
        </w:rPr>
        <w:hyperlink r:id="rId13" w:history="1">
          <w:r>
            <w:rPr>
              <w:rStyle w:val="Hyperlink"/>
            </w:rPr>
            <w:t xml:space="preserve">http://creativecommons.org/ </w:t>
          </w:r>
        </w:hyperlink>
      </w:r>
      <w:r>
        <w:rPr>
          <w:w w:val="96.92340850830078"/>
          <w:rFonts w:ascii="AdvGulliv" w:hAnsi="AdvGulliv" w:eastAsia="AdvGulliv"/>
          <w:b w:val="0"/>
          <w:i w:val="0"/>
          <w:color w:val="007FAD"/>
          <w:sz w:val="15"/>
        </w:rPr>
        <w:hyperlink r:id="rId13" w:history="1">
          <w:r>
            <w:rPr>
              <w:rStyle w:val="Hyperlink"/>
            </w:rPr>
            <w:t>licenses/by/4.0/</w:t>
          </w:r>
        </w:hyperlink>
      </w:r>
      <w:r>
        <w:rPr>
          <w:w w:val="96.92340850830078"/>
          <w:rFonts w:ascii="AdvGulliv" w:hAnsi="AdvGulliv" w:eastAsia="AdvGulliv"/>
          <w:b w:val="0"/>
          <w:i w:val="0"/>
          <w:color w:val="000000"/>
          <w:sz w:val="15"/>
        </w:rPr>
        <w:t>).</w:t>
      </w:r>
    </w:p>
    <w:p>
      <w:pPr>
        <w:autoSpaceDN w:val="0"/>
        <w:tabs>
          <w:tab w:pos="244" w:val="left"/>
        </w:tabs>
        <w:autoSpaceDE w:val="0"/>
        <w:widowControl/>
        <w:spacing w:line="102" w:lineRule="exact" w:before="702" w:after="0"/>
        <w:ind w:left="94" w:right="864" w:firstLine="0"/>
        <w:jc w:val="left"/>
      </w:pPr>
      <w:r>
        <w:rPr>
          <w:rFonts w:ascii="AdvCORRESAST" w:hAnsi="AdvCORRESAST" w:eastAsia="AdvCORRESAST"/>
          <w:b w:val="0"/>
          <w:i w:val="0"/>
          <w:color w:val="000000"/>
          <w:sz w:val="15"/>
        </w:rPr>
        <w:t>⇑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Corresponding author at: Department of Mathematics, Osnabrück University, 49076 Osnabrück, Germany.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E-mail address: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14" w:history="1">
          <w:r>
            <w:rPr>
              <w:rStyle w:val="Hyperlink"/>
            </w:rPr>
            <w:t>hedwig.gasteiger@uni-osnabrueck.de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(H. Gasteiger).</w:t>
      </w:r>
    </w:p>
    <w:p>
      <w:pPr>
        <w:autoSpaceDN w:val="0"/>
        <w:autoSpaceDE w:val="0"/>
        <w:widowControl/>
        <w:spacing w:line="176" w:lineRule="exact" w:before="184" w:after="0"/>
        <w:ind w:left="6" w:right="3888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9" w:history="1">
          <w:r>
            <w:rPr>
              <w:rStyle w:val="Hyperlink"/>
            </w:rPr>
            <w:t xml:space="preserve">https://doi.org/10.1016/j.jecp.2020.105060 </w:t>
          </w:r>
        </w:hyperlink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13"/>
        </w:rPr>
        <w:t>0022-0965/</w:t>
      </w:r>
      <w:r>
        <w:rPr>
          <w:rFonts w:ascii="AdvPSSym" w:hAnsi="AdvPSSym" w:eastAsia="AdvPSSym"/>
          <w:b w:val="0"/>
          <w:i w:val="0"/>
          <w:color w:val="000000"/>
          <w:sz w:val="13"/>
        </w:rPr>
        <w:t>�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2020 The Author(s). Published by Elsevier Inc.</w:t>
      </w:r>
    </w:p>
    <w:p>
      <w:pPr>
        <w:autoSpaceDN w:val="0"/>
        <w:autoSpaceDE w:val="0"/>
        <w:widowControl/>
        <w:spacing w:line="158" w:lineRule="exact" w:before="8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This is an open access article under the CC BY license (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13" w:history="1">
          <w:r>
            <w:rPr>
              <w:rStyle w:val="Hyperlink"/>
            </w:rPr>
            <w:t>http://creativecommons.org/licenses/by/4.0/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).</w:t>
      </w:r>
    </w:p>
    <w:p>
      <w:pPr>
        <w:sectPr>
          <w:type w:val="continuous"/>
          <w:pgSz w:w="9354" w:h="13606"/>
          <w:pgMar w:top="436" w:right="822" w:bottom="534" w:left="846" w:header="720" w:footer="720" w:gutter="0"/>
          <w:cols w:space="720" w:num="1" w:equalWidth="0"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H. Gasteiger and K. Moeller</w:t>
      </w:r>
    </w:p>
    <w:p>
      <w:pPr>
        <w:autoSpaceDN w:val="0"/>
        <w:autoSpaceDE w:val="0"/>
        <w:widowControl/>
        <w:spacing w:line="196" w:lineRule="exact" w:before="23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Introduction</w:t>
      </w:r>
    </w:p>
    <w:p>
      <w:pPr>
        <w:sectPr>
          <w:type w:val="continuous"/>
          <w:pgSz w:w="9354" w:h="13606"/>
          <w:pgMar w:top="438" w:right="830" w:bottom="382" w:left="852" w:header="720" w:footer="720" w:gutter="0"/>
          <w:cols w:space="720" w:num="2" w:equalWidth="0"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654"/>
        <w:ind w:left="0" w:right="22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sectPr>
          <w:type w:val="nextColumn"/>
          <w:pgSz w:w="9354" w:h="13606"/>
          <w:pgMar w:top="438" w:right="830" w:bottom="382" w:left="852" w:header="720" w:footer="720" w:gutter="0"/>
          <w:cols w:space="720" w:num="2" w:equalWidth="0"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Living at the beginning of the 21st century requires being numerate. Growing evidence suggests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that being able to reason with numbers appropriately is important for individual life and career pro-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spects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Butterworth, Varma, &amp; Laurillard, 2011; Dowker, 2005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In particular, it is known that numer-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ical competencies develop early and are predictive of later mathematics achievement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Krajewski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&amp; Schneider, 2009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Although we know about the importance of early numerical competencies, we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also know that children’s early numerical competencies differ considerably before the onset of formal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schooling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Anders, Grosse, Rossbach, Ebert, &amp; Weinert, 2013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Therefore, research on how numer-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ical development can be fostered is highly relevant for the individual as well as at a societal level for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our knowledge societies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Beddington et al.,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Recent evidence indicates that playing numerical board games is beneficial for numerical develop-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ment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Ramani &amp; Siegler,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; see below for a more detailed elaboration). However, board games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used in these previous studies were often specifically developed for training numerical skills. There-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fore, the focus of the current study was to evaluate whether playing conventional board games (e.g.,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Parcheesi, also known as Ludo) as traditionally played and known in family contexts can foster early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numerical competencies in a similar way—in particular, when played with typical dot dice as com-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pared with color or other symbol dice.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 the following, we first elaborate on the relevance of early numerical competencies for mathe-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matical development, and the findings of previous studies on beneficial effects of board games, before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 describe the details of the current study.</w:t>
      </w:r>
    </w:p>
    <w:p>
      <w:pPr>
        <w:autoSpaceDN w:val="0"/>
        <w:autoSpaceDE w:val="0"/>
        <w:widowControl/>
        <w:spacing w:line="190" w:lineRule="exact" w:before="43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Relevance of early numeracy for later mathematical development</w:t>
      </w:r>
    </w:p>
    <w:p>
      <w:pPr>
        <w:autoSpaceDN w:val="0"/>
        <w:autoSpaceDE w:val="0"/>
        <w:widowControl/>
        <w:spacing w:line="210" w:lineRule="exact" w:before="212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Numerous studies observed that a variety of early numerical competencies measured before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onset of formal schooling or in first grade are important predictors for later numerical and mathemat-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ical development. In particular, early numerical competencies such as verbal counting, counting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objects, magnitude understanding, initial calculation skills, and identifying numerals were repeatedly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observed to be predictive for further mathematical development in longitudinal studies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Geary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et al., 2009, Geary, 2011; Jordan, Glutting, &amp; Ramineni, 2010; Krajewski &amp; Schneider, 2009; Nguyen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et al., 2016; Passolunghi &amp; Lanfranchi, 2012; Sasanguie, Göbel, Moll, Smets, &amp; Reynvoet, 2013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08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these studies, verbal counting reflected counting forward as a basic counting skill but also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reflected counting on and counting backward as more advanced counting skills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Nguyen et al.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2016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The ability to count objects indicated mastery of basic counting principles such as stability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of number word sequence, one-to-one correspondence, and cardinality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Jordan et al., 2010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Mag-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nitude understanding was usually reflected by nonsymbolic numerosity or symbolic number compar-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ison tasks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Sasanguie et al., 2013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addition, recent evidence also pointed to longitudinal predictions of specific patterning skills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preschool children or kindergarteners on later mathematical achievement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Lüken, 2012; Rittle-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Johnson, Zippert, &amp; Boice, 2019; Wijns, Torbeyns, De Smedt, &amp; Verschaffel, 2019; Zippert, Clayback,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&amp; Rittle-Johnson, 2019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In this context, patterning skills included the ability to recognize and use pre-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dictable sequences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Zippert et al. 2019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 but also included the ability to recognize structures, such 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spatial dot patterns as known from dice, or sets structured in 5 or 20 frames and so on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Lüken, 2012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latter is henceforth referred to as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conceptual subitizing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Clements, 1999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Although the relevance of early numeracy in terms of basic numerical competencies for later math-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ematical development is broadly accepted, the role of recognizing and using patterns and structures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was often not considered as a part of early math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Wijns et al. 2019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)—even though there is convincing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evidence that patterns and structures are related to mathematical achievement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Mulligan &amp;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Mitchelmore, 2009; Obersteiner, Reiss, Ufer, Luwel, &amp; Verschaffel, 2014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For example,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Lüken (2012)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measured children’s ability to consider patterns and structures using tasks such as identifying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number of dots in a set without counting them, and structuring objects in a way so that another per-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son can easily see how many objects there are, 3 months before participating children started school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(5.8–7.2 years of age).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Lüken (2012)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showed that—above and beyond the contribution of early</w:t>
      </w:r>
    </w:p>
    <w:p>
      <w:pPr>
        <w:autoSpaceDN w:val="0"/>
        <w:autoSpaceDE w:val="0"/>
        <w:widowControl/>
        <w:spacing w:line="156" w:lineRule="exact" w:before="13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2</w:t>
      </w:r>
    </w:p>
    <w:p>
      <w:pPr>
        <w:sectPr>
          <w:type w:val="continuous"/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10" w:lineRule="exact" w:before="220" w:after="0"/>
        <w:ind w:left="0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numerical competencies such as magnitude comparison, counting, and symbolic knowledge of num-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bers—consideration of patterns and structures explained about 10% additional variance of children’s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mathematical competencies at the end of Grade 2.</w:t>
      </w:r>
    </w:p>
    <w:p>
      <w:pPr>
        <w:autoSpaceDN w:val="0"/>
        <w:autoSpaceDE w:val="0"/>
        <w:widowControl/>
        <w:spacing w:line="190" w:lineRule="exact" w:before="22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Benefits of playing board games for early mathematical development</w:t>
      </w:r>
    </w:p>
    <w:p>
      <w:pPr>
        <w:autoSpaceDN w:val="0"/>
        <w:autoSpaceDE w:val="0"/>
        <w:widowControl/>
        <w:spacing w:line="210" w:lineRule="exact" w:before="212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Recently, results from several studies suggested that playing board games is beneficial for early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numerical development of preschoolers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Elofsson, Gustafson, Samuelsson, &amp; Träff, 2016; Laski &amp;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Siegler, 2014; Ramani &amp; Siegler, 2008; Siegler &amp; Ramani,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For instance, Siegler and Ramani com-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pared the effect of playing linear number board games with a spinner showing symbolic numbers 1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2, as opposed to circular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Siegler &amp; Ramani, 2009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or linear color board games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Ramani &amp;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Siegler,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), on children’s numerical development. They observed that 4- and 5-year-olds who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played the linear number board game with an adult instructor in four or five sessions showed more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pronounced training effects on number line estimation, counting, number magnitude comparison,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number identification tasks than children from the control groups (i.e., playing color or circular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number board games). It is promising that similar beneficial effects were observed when children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played in small groups with paraprofessionals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Ramani, Siegler, &amp; Hitti, 2012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More recent studies also found beneficial effects for circular numerical board games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Elofsson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et al., 2016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However, these games were not purposely designed to present numbers linearly (with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magnitude increasing from left to right) to corroborate their mental number line representation. 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such, beneficial effects were not observed for magnitude understanding or number line estimation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but rather were observed for naming written Arabic numbers and counting.</w:t>
      </w:r>
    </w:p>
    <w:p>
      <w:pPr>
        <w:autoSpaceDN w:val="0"/>
        <w:autoSpaceDE w:val="0"/>
        <w:widowControl/>
        <w:spacing w:line="208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Regarding the working mechanisms of the games used, it was argued that while playing board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games, children systematically relate number words to magnitudes (linear board games) and also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learn that they need to pass the more squares the higher the respective number. In addition, children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need to count while moving their token forward and thus also learn to identify Arabic number sym-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bols by naming the respective numbers on the spinner or the game board while counting forward.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general, recent research indicated that interventions with number board games were more promising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than interventions with color board games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Whyte &amp; Bull,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Interestingly, the results of Siegler and colleagues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Siegler &amp; Ramani, 2008, 2009; Laski &amp; Siegler,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2014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), as well as others described above, complement ideas from math education arguing that using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games in everyday situations is an appropriate approach to foster early mathematical learning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meaningful contexts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Gasteiger, 2012, 2014; Seo &amp; Ginsburg, 2004; van Oers, 2010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Several empirical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(nonexperimental) studies substantiated the effectiveness of using games for numerical learning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before the onset of formal schooling and in primary school mathematics instruction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Stebler,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Vogt, Wolf, Hauser, &amp; Rechsteiner, 2013; Young-Loveridge, 2004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For instance,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Peters (1998)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examined the influence of playing board and card games on the devel-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opment of numerical competencies of 5-year-old children. In an intervention study that was not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strictly controlled, parents played board and card games in the classroom with the same small group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of children once a week over a period of 8 months. Parents were informed about the games and how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play them in a short workshop. Playing with the children was then the responsibility of parents.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Games were developed following didactical ideas to enhance children’s understanding of number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focused specifically on enumeration, forming small sets, patterns, and numerical recognition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Peters, 1998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Results clearly indicated that the game-based intervention was effective. Children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intervention group showed significantly more pronounced gains in enumeration, counting, under-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standing the number sequence, and recognition of number patterns than children in a control group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attending standard mathematics classes during the same period.</w:t>
      </w:r>
    </w:p>
    <w:p>
      <w:pPr>
        <w:autoSpaceDN w:val="0"/>
        <w:autoSpaceDE w:val="0"/>
        <w:widowControl/>
        <w:spacing w:line="190" w:lineRule="exact" w:before="22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Summary and study objectives</w:t>
      </w:r>
    </w:p>
    <w:p>
      <w:pPr>
        <w:autoSpaceDN w:val="0"/>
        <w:autoSpaceDE w:val="0"/>
        <w:widowControl/>
        <w:spacing w:line="210" w:lineRule="exact" w:before="212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Previous studies on playing board games indicated that playing numerical board games seems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 a promising approach to support children’s early numerical development even before the onset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of formal schooling. Importantly, however, most previous studies investigating the influences of play-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ing (board) games on children’s early numerical development used games that were specifically</w:t>
      </w:r>
    </w:p>
    <w:p>
      <w:pPr>
        <w:autoSpaceDN w:val="0"/>
        <w:autoSpaceDE w:val="0"/>
        <w:widowControl/>
        <w:spacing w:line="156" w:lineRule="exact" w:before="13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3</w:t>
      </w: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tabs>
          <w:tab w:pos="4108" w:val="left"/>
        </w:tabs>
        <w:autoSpaceDE w:val="0"/>
        <w:widowControl/>
        <w:spacing w:line="152" w:lineRule="exact" w:before="0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10" w:lineRule="exact" w:before="220" w:after="0"/>
        <w:ind w:left="6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designed based on theoretical considerations to support specific numerical skills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Ramani &amp;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Siegler,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 or were modified and adapted versions of conventional games to better fit the explicit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purpose of numerical learning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Peters, 1998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08" w:lineRule="exact" w:before="0" w:after="0"/>
        <w:ind w:left="6" w:right="22" w:firstLine="234"/>
        <w:jc w:val="both"/>
      </w:pPr>
      <w:r>
        <w:rPr>
          <w:rFonts w:ascii="AdvGulliv" w:hAnsi="AdvGulliv" w:eastAsia="AdvGulliv"/>
          <w:b w:val="0"/>
          <w:i w:val="0"/>
          <w:color w:val="007FAD"/>
          <w:sz w:val="16"/>
        </w:rPr>
        <w:t>Ramani and Siegler (2008), Elofsson et al. (2016), Laski and Siegler (2014)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and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Whyte and Bull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(2008)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used linearly arranged rows of squares with numbers on them (from 1 to 10 or in extended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versions up to 100) and a spinner or dice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Elofsson et al., 2016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 showing symbolic numbers from 1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to 2 or 3 (1–5 in the study of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Laski &amp; Siegler, 2014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These games were inspired by the commercial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game Chutes and Ladders and were adapted to work with the respective age groups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Ramani &amp;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Siegler,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10" w:lineRule="exact" w:before="0" w:after="0"/>
        <w:ind w:left="6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Other studies with a focus on mathematics education already used conventional board games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(among other games) but did not follow a strictly controlled intervention study design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Stebler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et al., 2013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or focused on children at school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Peters, 1998; Young-Loveridge, 2004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Accordingly, there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is a lack of well-controlled intervention studies to evaluate the causal relationship between playing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specific games and the development of early numeracy before the start of formal schooling.</w:t>
      </w:r>
    </w:p>
    <w:p>
      <w:pPr>
        <w:autoSpaceDN w:val="0"/>
        <w:autoSpaceDE w:val="0"/>
        <w:widowControl/>
        <w:spacing w:line="210" w:lineRule="exact" w:before="0" w:after="0"/>
        <w:ind w:left="6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Another point worth mentioning is that most of these previous studies reported intervention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effects on numerical competencies for a posttest administered after the intervention but did not con-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duct long-term follow-up testing. A small longer-lasting significant effect was only reported by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Young-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Loveridge (2004)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15 months after starting the intervention.</w:t>
      </w:r>
    </w:p>
    <w:p>
      <w:pPr>
        <w:autoSpaceDN w:val="0"/>
        <w:autoSpaceDE w:val="0"/>
        <w:widowControl/>
        <w:spacing w:line="210" w:lineRule="exact" w:before="0" w:after="0"/>
        <w:ind w:left="6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Therefore, we pursued the idea of using existing conventional board games such as Parcheesi/Ludo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 traditional dice with dot faces numbered from one to six as an ecologically valid natural learning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situation to foster numerical development (with more or less guidance through parents or kinder-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garten teachers). Thereby, we aimed to evaluate opportunities for numerical learning in play situa-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tions as they may happen every day at home or in kindergarten.</w:t>
      </w:r>
      <w:r>
        <w:rPr>
          <w:w w:val="102.4592312899503"/>
          <w:rFonts w:ascii="AdvGulliv" w:hAnsi="AdvGulliv" w:eastAsia="AdvGulliv"/>
          <w:b w:val="0"/>
          <w:i w:val="0"/>
          <w:color w:val="007FAD"/>
          <w:sz w:val="11"/>
        </w:rPr>
        <w:t>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aimed to evaluate whether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playing conventional board games has beneficial effects on children’s early numerical learning compara-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ble to what has been observed in previous studies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Siegler &amp; Ramani, 2008, 2009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 and, if so, whether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these effects can still be observed at a follow-up test 1 year after the intervention.</w:t>
      </w:r>
    </w:p>
    <w:p>
      <w:pPr>
        <w:autoSpaceDN w:val="0"/>
        <w:autoSpaceDE w:val="0"/>
        <w:widowControl/>
        <w:spacing w:line="192" w:lineRule="exact" w:before="370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 current study</w:t>
      </w:r>
    </w:p>
    <w:p>
      <w:pPr>
        <w:autoSpaceDN w:val="0"/>
        <w:autoSpaceDE w:val="0"/>
        <w:widowControl/>
        <w:spacing w:line="210" w:lineRule="exact" w:before="210" w:after="0"/>
        <w:ind w:left="6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assumed that conventional, commercially available board games should similarly support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specific early numerical competencies found to be fostered in the above reported studies (e.g.,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Ramani &amp; Siegler,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and known as significant predictors for later mathematics achievement.</w:t>
      </w:r>
    </w:p>
    <w:p>
      <w:pPr>
        <w:autoSpaceDN w:val="0"/>
        <w:autoSpaceDE w:val="0"/>
        <w:widowControl/>
        <w:spacing w:line="208" w:lineRule="exact" w:before="2" w:after="0"/>
        <w:ind w:left="6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particular, we assumed that playing these conventional board games with traditional dot dice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(instead of a spinner or dice with symbolic numerals), as compared with color or non-numerical sym-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bol dice, should specifically improve children’s counting skills because children need to count the dots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on the dice and were supposed to say aloud each number word while moving the token forward.</w:t>
      </w:r>
    </w:p>
    <w:p>
      <w:pPr>
        <w:autoSpaceDN w:val="0"/>
        <w:autoSpaceDE w:val="0"/>
        <w:widowControl/>
        <w:spacing w:line="210" w:lineRule="exact" w:before="0" w:after="0"/>
        <w:ind w:left="6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Moreover, children’s understanding of cardinality should be enhanced because they systematically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relate number words to cardinality when they learn that they need to pass more squares the higher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respective number of dots on the dice face.</w:t>
      </w:r>
    </w:p>
    <w:p>
      <w:pPr>
        <w:autoSpaceDN w:val="0"/>
        <w:autoSpaceDE w:val="0"/>
        <w:widowControl/>
        <w:spacing w:line="210" w:lineRule="exact" w:before="0" w:after="0"/>
        <w:ind w:left="6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contrast to the results of previous studies using a spinner with Arabic number symbols, playing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conventional board games with traditional dot dice might not foster learning Arabic number symbols.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Instead, we hypothesized that using traditional dot dice may specifically foster children’s competen-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cies in conceptual subitizing (i.e., recognizing structured sets or spatial structure patterns when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subitizing the dots on the dice).</w:t>
      </w:r>
    </w:p>
    <w:p>
      <w:pPr>
        <w:autoSpaceDN w:val="0"/>
        <w:autoSpaceDE w:val="0"/>
        <w:widowControl/>
        <w:spacing w:line="208" w:lineRule="exact" w:before="2" w:after="0"/>
        <w:ind w:left="6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Moreover, as a potential transfer effect, it may be that children improve their initial calculation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skills. Some play situations offer the possibility to calculate; for example, when playing Parcheesi,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player may throw the dice again when it shows six, which then allows for calculating the overall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number of squares one needs to pass (e.g., by counting on).</w:t>
      </w:r>
    </w:p>
    <w:p>
      <w:pPr>
        <w:autoSpaceDN w:val="0"/>
        <w:autoSpaceDE w:val="0"/>
        <w:widowControl/>
        <w:spacing w:line="208" w:lineRule="exact" w:before="2" w:after="0"/>
        <w:ind w:left="6" w:right="0" w:firstLine="234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Furthermore, there is evidence suggesting that mastery of processing nonsymbolic numerical infor-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mation serves as a building block for the later development of symbolic numerical abilities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De</w:t>
      </w:r>
    </w:p>
    <w:p>
      <w:pPr>
        <w:autoSpaceDN w:val="0"/>
        <w:autoSpaceDE w:val="0"/>
        <w:widowControl/>
        <w:spacing w:line="172" w:lineRule="exact" w:before="172" w:after="0"/>
        <w:ind w:left="6" w:right="22" w:firstLine="110"/>
        <w:jc w:val="both"/>
      </w:pPr>
      <w:r>
        <w:rPr>
          <w:rFonts w:ascii="AdvGulliv" w:hAnsi="AdvGulliv" w:eastAsia="AdvGulliv"/>
          <w:b w:val="0"/>
          <w:i w:val="0"/>
          <w:color w:val="000000"/>
          <w:sz w:val="9"/>
        </w:rPr>
        <w:t>1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Here and in the following, we use the term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kindergarten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(and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kindergarteners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) to describe the situation in Germany where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children usually attend kindergarten from 3 to 6 years of age before they enter primary school and thus formal schooling. In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German kindergarten, there is no binding curriculum for early mathematics education.</w:t>
      </w:r>
    </w:p>
    <w:p>
      <w:pPr>
        <w:autoSpaceDN w:val="0"/>
        <w:autoSpaceDE w:val="0"/>
        <w:widowControl/>
        <w:spacing w:line="156" w:lineRule="exact" w:before="146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4</w:t>
      </w:r>
    </w:p>
    <w:p>
      <w:pPr>
        <w:sectPr>
          <w:pgSz w:w="9354" w:h="13606"/>
          <w:pgMar w:top="440" w:right="830" w:bottom="382" w:left="846" w:header="720" w:footer="720" w:gutter="0"/>
          <w:cols w:space="720" w:num="1" w:equalWidth="0"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10" w:lineRule="exact" w:before="220" w:after="0"/>
        <w:ind w:left="0" w:right="22" w:firstLine="0"/>
        <w:jc w:val="both"/>
      </w:pP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Smedt, Verschaffel, &amp; Gesquiere, 2009; Holloway &amp; Ansari, 2009; Piazza et al., 2010; Verguts &amp; Fias,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2004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Therefore, playing with traditional number dice (with dot faces numbered from one to six)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may be seen as a game activity fostering children’s numerical development from early on.</w:t>
      </w:r>
    </w:p>
    <w:p>
      <w:pPr>
        <w:autoSpaceDN w:val="0"/>
        <w:autoSpaceDE w:val="0"/>
        <w:widowControl/>
        <w:spacing w:line="208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focused on conventional board games, played with children aged 4 to 6 years without a specific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training focus, using traditional dot dice as compared with color or non-numerical symbol dice show-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ing symbols (e.g., heart, sun, tree). Many board games for kindergarteners also use color or non-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numerical symbol dice; therefore, we compared the effectiveness of an intervention in which children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played conventional board games using traditional dot dice with that of a control group of children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who played conventional board games using color and non-numerical symbol dice.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Based on previous research on the effectiveness of playing number board games on children’s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numerical development, we expected a more pronounced effect of playing board games with tradi-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tional number dice (with dot faces numbered from one to six), compared with playing board games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with non-numerical symbol or color dice, on the development of children’s early numerical competen-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cies. In particular, we expected beneficial effects on counting and conceptual subitizing because these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early numerical competencies are inherent in playing the number games. Moreover, we included a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follow-up test in our study to evaluate longer-lasting effects—which was not the case in most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studies on interventions using board games reported here.</w:t>
      </w:r>
    </w:p>
    <w:p>
      <w:pPr>
        <w:autoSpaceDN w:val="0"/>
        <w:autoSpaceDE w:val="0"/>
        <w:widowControl/>
        <w:spacing w:line="196" w:lineRule="exact" w:before="448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Method</w:t>
      </w:r>
    </w:p>
    <w:p>
      <w:pPr>
        <w:autoSpaceDN w:val="0"/>
        <w:autoSpaceDE w:val="0"/>
        <w:widowControl/>
        <w:spacing w:line="190" w:lineRule="exact" w:before="226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Participants</w:t>
      </w:r>
    </w:p>
    <w:p>
      <w:pPr>
        <w:autoSpaceDN w:val="0"/>
        <w:autoSpaceDE w:val="0"/>
        <w:widowControl/>
        <w:spacing w:line="210" w:lineRule="exact" w:before="212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 total of 95 children from five German kindergartens from middle-class neighborhoods took part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 the study. Children were randomly assigned to an experimental group (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48, 25 girls;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M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age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4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years 11 months at the beginning of the study) and a control group (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47, 27 girls;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M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age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4 years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10 months). Here, each child was assigned a random number. Children where arranged in ascending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order separated by gender. In a final step, children were assigned to the experimental and control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groups alternately. This resulted in two groups that did not differ significantly in terms of general cog-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nitive abilities and pretest results across groups (see Results).</w:t>
      </w:r>
    </w:p>
    <w:p>
      <w:pPr>
        <w:autoSpaceDN w:val="0"/>
        <w:autoSpaceDE w:val="0"/>
        <w:widowControl/>
        <w:spacing w:line="208" w:lineRule="exact" w:before="2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Sample sizes were chosen to be able to detect a medium-sized effect (as observed in previous stud-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ies, 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Ramani &amp; Siegler, 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with sufficient statistical power (.80) using a mixed-model within-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participant multivariate analysis of variance (MANOVA) as the analysis approach (see Results for more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details). The study was approved by local kindergarten authorities. Participation was voluntary,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informed consent from parents or caregivers was obtained prior to the intervention. In addition, chil-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dren’s assent was obtained prior to the playing sessions.</w:t>
      </w:r>
    </w:p>
    <w:p>
      <w:pPr>
        <w:autoSpaceDN w:val="0"/>
        <w:autoSpaceDE w:val="0"/>
        <w:widowControl/>
        <w:spacing w:line="192" w:lineRule="exact" w:before="416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Measures</w:t>
      </w:r>
    </w:p>
    <w:p>
      <w:pPr>
        <w:autoSpaceDN w:val="0"/>
        <w:autoSpaceDE w:val="0"/>
        <w:widowControl/>
        <w:spacing w:line="210" w:lineRule="exact" w:before="212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Children’s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numerical competencies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were measured in one-on-one sessions of approximately 30 min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duration before the intervention (pretest), after the intervention (posttest), and 1 year after the inter-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vention (follow-up test). Due to reasons of test session organization and personnel limitations, assess-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ment of all 95 children took about 4 weeks at pretesting, posttesting, and follow-up testing. Children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had no specific mathematical training or instruction in kindergarten during the time of the study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(which is common in Germany because there is no mathematics curriculum for German kindergarten).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assessed numerical competencies in a broader sense to evaluate training effects in a differential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way and to also allow for the observation of potential transfer effects.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 particular, we assessed the following numerical competencies using five subscales of the TEDI-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MATH test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Kaufmann et al., 2009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): (a) counting principles, (b) counting objects, (c) recognition of Ara-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bic digits, (d) recognition of number words, and (e) object-based calculation. In addition, we used a (f)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consideration of structures task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Gasteiger, 2010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Cronbach’s alphas of the test battery were .902,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.901, and .859 for pretest, posttest, and follow-up test, respectively. All evaluation tasks were admin-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istered in one testing session per measurement time.</w:t>
      </w:r>
    </w:p>
    <w:p>
      <w:pPr>
        <w:autoSpaceDN w:val="0"/>
        <w:autoSpaceDE w:val="0"/>
        <w:widowControl/>
        <w:spacing w:line="156" w:lineRule="exact" w:before="13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5</w:t>
      </w: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08" w:lineRule="exact" w:before="222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counting principles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 assesses the correctness of the sequence of number words in verbal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counting (counting upward on to 31, counting backward) and its flexibility (e.g., counting up to or 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from a specific number, counting backward, in steps of two). For a total number of 13 items, a max-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imum of 14 points can be achieved in this subscale. Whereas 1 point can be achieved with each item,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on the item counting upward, reaching 31 on the first attempt scores 2 points, and needing a second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attempt to reach 31 scores 1 point. Regarding the observed internal consistency, Cronbach’s alphas 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observed in the current study were .811, .813, and .862 for pretest, posttest, and follow-up test,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respectively. This is comparable to what the test manual of TEDI-MATH reports for the respective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age groups (Cronbach’s alphas from .77 to .85).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counting objects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subscale, children need to count different objects (up to 15) to evaluate their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mastery of counting procedures and principles such as stability of number word sequence, one-to-one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correspondence, and cardinality. For a total number of 13 items, a maximum score of 13 points can be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achieved in this subscale. Regarding the observed internal consistency, Cronbach’s alphas in the cur-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rent study were .825, .830, and .921 for pretest, posttest, and follow-up test, respectively. The TEDI-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MATH test manual reports Cronbach’s alphas from .59 to .79.</w:t>
      </w:r>
    </w:p>
    <w:p>
      <w:pPr>
        <w:autoSpaceDN w:val="0"/>
        <w:autoSpaceDE w:val="0"/>
        <w:widowControl/>
        <w:spacing w:line="208" w:lineRule="exact" w:before="2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recognition of Arabic digits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 assesses whether children are able to recognize Arabic dig-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its. Specifically, children need to differentiate Arabic digits from other symbols (e.g., letters). A max-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imum of 8 points can be achieved in this subtest comprising 8 items. In the current study,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Cronbach’s alphas for pretest, posttest, and follow-up test were .737, .728, and .958, respectively.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the respective age groups, the test manual specifies a range from .64 to .88.</w:t>
      </w:r>
    </w:p>
    <w:p>
      <w:pPr>
        <w:autoSpaceDN w:val="0"/>
        <w:autoSpaceDE w:val="0"/>
        <w:widowControl/>
        <w:spacing w:line="208" w:lineRule="exact" w:before="2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recognition of number words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subscale, children need to recognize spoken number words (e.g.,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seven, eleven, five, sixty, thirty, fourteen). Children need to differentiate number words from other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non-numerical words (e.g., Sunday, two-ten, July). This subscale comprises 12 items allowing for a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maximum performance of 12 points. For pretest, posttest, and follow-up test, Cronbach’s alphas were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.672, .582, and .958, respectively, in the current study. The TEDI-MATH test manual reports Cronbach’s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alphas from .69 to .71. Due to ceiling effects, no reliability statement was possible for the age group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involving 6-year-old children.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object-based calculation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 evaluates children’s skills in solving initial arithmetic prob-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lems (used numbers and results &lt; 10) presented to them visually and auditorily (read aloud by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assessor). For the 6 items of this subtest, a maximum of 6 points can be achieved. With .510, .667,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.754 for pretest, posttest, and follow-up test, respectively, internal consistency as observed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current study was comparable to what the test manual reports (Cronbach’s alphas from .52 to .76).</w:t>
      </w:r>
    </w:p>
    <w:p>
      <w:pPr>
        <w:autoSpaceDN w:val="0"/>
        <w:autoSpaceDE w:val="0"/>
        <w:widowControl/>
        <w:spacing w:line="232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Finally,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task assesses children’s ability to recognize and explain struc-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tures by evaluating whether they consider structures (e.g., the arrangement of items of a set in a 3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pattern) or simply count to determine the cardinality of a set. Children needed to sort cards with struc-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tured and unstructured dot patterns referring to the number of dots. The assessor observed whether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children counted the dots on the cards or not. In addition, children needed to explain and give a reason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as to whether, and perhaps why, it is easier for them to see how many dots there are on the card for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structured patterns or on the card with unstructured patterns. The task comprises 4 items (on cardi-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nalities ranging from 3 to 6) allowing for a maximum of 4 points to be achieved. Regarding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observed internal consistency, Cronbach’s alphas were .548, .562, and .687 for pretest, posttest,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follow-up test, respectively.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We assessed these scales of numerical competencies because these were identified as relevant pre-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dictors for later mathematical achievement (see Introduction). In particular, the counting principles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counting objects scales were chosen because these competencies are specifically necessary to play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games successfully. The object-based calculation subscale and consideration of structures task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were used because children might improve these competencies while playing the games (e.g., adding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up the number of squares they need to pass, recognizing the number of dots on dice by conceptual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subitizing). Finally, the recognition of number words and recognition of Arabic digits scales were con-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sidered to provide additional information about children’s development in accompanying early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numerical competencies and to evaluate potential transfer effects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.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By using the chosen evaluation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tasks, we acquired data to evaluate the effects of our intervention study differentially on all three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levels of early numerical development as suggested by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Krajewski and Schneider (2009)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: counting,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cardinality understanding, and initial calculations.</w:t>
      </w:r>
    </w:p>
    <w:p>
      <w:pPr>
        <w:autoSpaceDN w:val="0"/>
        <w:autoSpaceDE w:val="0"/>
        <w:widowControl/>
        <w:spacing w:line="156" w:lineRule="exact" w:before="13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6</w:t>
      </w: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tabs>
          <w:tab w:pos="4108" w:val="left"/>
        </w:tabs>
        <w:autoSpaceDE w:val="0"/>
        <w:widowControl/>
        <w:spacing w:line="152" w:lineRule="exact" w:before="0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08" w:lineRule="exact" w:before="222" w:after="0"/>
        <w:ind w:left="6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computed individual solution rates to be used as dependent variables for all subscales and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consideration of structures task by dividing the points achieved by a child by the maximum number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points achievable in the respective subscale or task, thereby reflecting the proportion of correct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answers for the child.</w:t>
      </w:r>
    </w:p>
    <w:p>
      <w:pPr>
        <w:autoSpaceDN w:val="0"/>
        <w:tabs>
          <w:tab w:pos="240" w:val="left"/>
        </w:tabs>
        <w:autoSpaceDE w:val="0"/>
        <w:widowControl/>
        <w:spacing w:line="208" w:lineRule="exact" w:before="2" w:after="0"/>
        <w:ind w:left="6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As a control variable we assessed general cognitive abilities using the German version of Wechsler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Preschool and Primary Scale of Intelligence (WPPSI;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Petermann &amp; Lipsius, 2011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192" w:lineRule="exact" w:before="296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Intervention</w:t>
      </w:r>
    </w:p>
    <w:p>
      <w:pPr>
        <w:autoSpaceDN w:val="0"/>
        <w:autoSpaceDE w:val="0"/>
        <w:widowControl/>
        <w:spacing w:line="208" w:lineRule="exact" w:before="214" w:after="0"/>
        <w:ind w:left="6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During the 4-week intervention, children played board games in small groups of 2 or 3 plus an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adult player in seven intervention sessions (one or two per week) of about 30 min each. On average,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children had their first intervention session 12 days after pretest and had their posttest 13 days after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last intervention session. The number of intervention sessions and their timing were chosen sim-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ilar to those in the study of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Elofsson et al. (2016)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. The composition of the groups remained constant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across intervention sessions.</w:t>
      </w:r>
    </w:p>
    <w:p>
      <w:pPr>
        <w:autoSpaceDN w:val="0"/>
        <w:autoSpaceDE w:val="0"/>
        <w:widowControl/>
        <w:spacing w:line="210" w:lineRule="exact" w:before="0" w:after="0"/>
        <w:ind w:left="6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 adult players were 10 university students. They were trained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not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to act as instructors fostering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children’s numerical competencies but rather to guarantee free play in a natural situation and to play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as conscientious parents would do with their children without any training intention. Following ideas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on different levels of parental or paraprofessional support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Bjorklund, Hubertz, &amp; Reubens, 2004;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Ramani et al., 2012; Wood &amp; Middleton, 1975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), the experimenters were allowed to act on three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levels—(a) verbal stimulation without proposing a strategy (‘‘What do you think? Are you sure?”),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(b) specific verbal stimulation proposing a strategy (‘‘Count once again, your token was here”), and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(c) modeling—but only to demonstrate their own conscientious acting and not to act for the children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(i.e., naming the number or color/symbol shown on the dice after rolling it when it was the adult’s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turn, counting aloud or naming the colors/symbols when moving their own token forward).</w:t>
      </w:r>
    </w:p>
    <w:p>
      <w:pPr>
        <w:autoSpaceDN w:val="0"/>
        <w:autoSpaceDE w:val="0"/>
        <w:widowControl/>
        <w:spacing w:line="210" w:lineRule="exact" w:before="0" w:after="0"/>
        <w:ind w:left="6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Experimenters were trained not to instruct children in order to guarantee a natural play situation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not to turn the situation into any kind of a lesson. Therefore, the adult players should avoid all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kinds of instructional behaviors (as indicated by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Ramani et al., 2012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 or providing correct answers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(as indicated by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Bjorklund et al., 2004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If children struggled during the game, the adult players should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not provide the answer; instead, they should ask the other children to help. To check whether adult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players adhered to these instructions, one play session of each adult player was videotaped. Evaluation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of the experimenters’ playing behavior by checking the videotaped play sessions revealed that all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adult players followed the instruction not to engage in any instructional behavior but rather to behave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like a conscientious co-player.</w:t>
      </w:r>
    </w:p>
    <w:p>
      <w:pPr>
        <w:autoSpaceDN w:val="0"/>
        <w:autoSpaceDE w:val="0"/>
        <w:widowControl/>
        <w:spacing w:line="210" w:lineRule="exact" w:before="0" w:after="0"/>
        <w:ind w:left="6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Children in the experimental group played conventional board games with a traditional number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dice (with dot faces numbered from one to six). Games played in the experimental group were (a) a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short version of Parcheesi</w:t>
      </w:r>
      <w:r>
        <w:rPr>
          <w:w w:val="102.4592312899503"/>
          <w:rFonts w:ascii="AdvGulliv" w:hAnsi="AdvGulliv" w:eastAsia="AdvGulliv"/>
          <w:b w:val="0"/>
          <w:i w:val="0"/>
          <w:color w:val="007FAD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 fewer squares from start to finish and only three tokens instead of four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per person (this version of Parcheesi was used to shorten playtime and to allow players to complete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game within 30 min), (b) Coppit,</w:t>
      </w:r>
      <w:r>
        <w:rPr>
          <w:w w:val="102.4592312899503"/>
          <w:rFonts w:ascii="AdvGulliv" w:hAnsi="AdvGulliv" w:eastAsia="AdvGulliv"/>
          <w:b w:val="0"/>
          <w:i w:val="0"/>
          <w:color w:val="007FAD"/>
          <w:sz w:val="11"/>
        </w:rPr>
        <w:t>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(c) a game called Collecting Treasures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Dolenc, Gasteiger, Kraft, &amp;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Loibl, 2005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In the latter game, players need to move their token along a trail of squares according to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number they achieve on their dice. Some of these squares have dots on them. When players move their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token onto such a square, they get as many gems as dots are displayed on the square. The player who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collects the most gems by the end wins the game. In a regular game session, children usually collected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more than 10 gems.</w:t>
      </w:r>
    </w:p>
    <w:p>
      <w:pPr>
        <w:autoSpaceDN w:val="0"/>
        <w:autoSpaceDE w:val="0"/>
        <w:widowControl/>
        <w:spacing w:line="210" w:lineRule="exact" w:before="0" w:after="0"/>
        <w:ind w:left="6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Children in the control group also played conventional board games but with non-numerical sym-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bol or color dice. They played (a) a commercially available variant of Parcheesi</w:t>
      </w:r>
      <w:r>
        <w:rPr>
          <w:w w:val="102.4592312899503"/>
          <w:rFonts w:ascii="AdvGulliv" w:hAnsi="AdvGulliv" w:eastAsia="AdvGulliv"/>
          <w:b w:val="0"/>
          <w:i w:val="0"/>
          <w:color w:val="007FAD"/>
          <w:sz w:val="11"/>
        </w:rPr>
        <w:t>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 non-numerical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symbols on the squares and on the dice (e.g., heart, tree, sun) and (b) the Worm Game.</w:t>
      </w:r>
      <w:r>
        <w:rPr>
          <w:w w:val="102.4592312899503"/>
          <w:rFonts w:ascii="AdvGulliv" w:hAnsi="AdvGulliv" w:eastAsia="AdvGulliv"/>
          <w:b w:val="0"/>
          <w:i w:val="0"/>
          <w:color w:val="007FAD"/>
          <w:sz w:val="11"/>
        </w:rPr>
        <w:t>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latter is</w:t>
      </w:r>
    </w:p>
    <w:p>
      <w:pPr>
        <w:autoSpaceDN w:val="0"/>
        <w:tabs>
          <w:tab w:pos="116" w:val="left"/>
        </w:tabs>
        <w:autoSpaceDE w:val="0"/>
        <w:widowControl/>
        <w:spacing w:line="174" w:lineRule="exact" w:before="164" w:after="0"/>
        <w:ind w:left="6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9"/>
        </w:rPr>
        <w:t>2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A short version of Parcheesi (</w:t>
      </w:r>
      <w:r>
        <w:rPr>
          <w:w w:val="98.09230657724234"/>
          <w:rFonts w:ascii="AdvGulliv" w:hAnsi="AdvGulliv" w:eastAsia="AdvGulliv"/>
          <w:b w:val="0"/>
          <w:i w:val="0"/>
          <w:color w:val="007FAD"/>
          <w:sz w:val="13"/>
        </w:rPr>
        <w:hyperlink r:id="rId18" w:history="1">
          <w:r>
            <w:rPr>
              <w:rStyle w:val="Hyperlink"/>
            </w:rPr>
            <w:t>https://www.schmidtspiele.de/details/produkt/mensch-aergere-dich-nicht-r–classic.html</w:t>
          </w:r>
        </w:hyperlink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) is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commercially available with three tokens per player as a kids’ version, also known as Ludo.</w:t>
      </w:r>
    </w:p>
    <w:p>
      <w:pPr>
        <w:autoSpaceDN w:val="0"/>
        <w:tabs>
          <w:tab w:pos="116" w:val="left"/>
        </w:tabs>
        <w:autoSpaceDE w:val="0"/>
        <w:widowControl/>
        <w:spacing w:line="172" w:lineRule="exact" w:before="42" w:after="0"/>
        <w:ind w:left="6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9"/>
        </w:rPr>
        <w:t>3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Coppit (</w:t>
      </w:r>
      <w:r>
        <w:rPr>
          <w:w w:val="98.09230657724234"/>
          <w:rFonts w:ascii="AdvGulliv" w:hAnsi="AdvGulliv" w:eastAsia="AdvGulliv"/>
          <w:b w:val="0"/>
          <w:i w:val="0"/>
          <w:color w:val="007FAD"/>
          <w:sz w:val="13"/>
        </w:rPr>
        <w:hyperlink r:id="rId19" w:history="1">
          <w:r>
            <w:rPr>
              <w:rStyle w:val="Hyperlink"/>
            </w:rPr>
            <w:t>https://www.ravensburger.de/produkte/spiele/familienspiele/fang-den-hut-26736/index.html</w:t>
          </w:r>
        </w:hyperlink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) is also known as Cap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the Hat or Capture the Hat.</w:t>
      </w:r>
    </w:p>
    <w:p>
      <w:pPr>
        <w:autoSpaceDN w:val="0"/>
        <w:tabs>
          <w:tab w:pos="116" w:val="left"/>
        </w:tabs>
        <w:autoSpaceDE w:val="0"/>
        <w:widowControl/>
        <w:spacing w:line="170" w:lineRule="exact" w:before="44" w:after="0"/>
        <w:ind w:left="6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9"/>
        </w:rPr>
        <w:t>4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See</w:t>
      </w:r>
      <w:r>
        <w:rPr>
          <w:w w:val="98.09230657724234"/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w w:val="98.09230657724234"/>
          <w:rFonts w:ascii="AdvGulliv" w:hAnsi="AdvGulliv" w:eastAsia="AdvGulliv"/>
          <w:b w:val="0"/>
          <w:i w:val="0"/>
          <w:color w:val="007FAD"/>
          <w:sz w:val="13"/>
        </w:rPr>
        <w:hyperlink r:id="rId20" w:history="1">
          <w:r>
            <w:rPr>
              <w:rStyle w:val="Hyperlink"/>
            </w:rPr>
            <w:t>https://www.ravensburger.de/produkte/spiele/kinderspiele/der-maulwurf-und-sein-lieblingsspiel-21570/index.html</w:t>
          </w:r>
        </w:hyperlink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for a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variant of Parcheesi.</w:t>
      </w:r>
    </w:p>
    <w:p>
      <w:pPr>
        <w:autoSpaceDN w:val="0"/>
        <w:autoSpaceDE w:val="0"/>
        <w:widowControl/>
        <w:spacing w:line="214" w:lineRule="exact" w:before="0" w:after="0"/>
        <w:ind w:left="116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9"/>
        </w:rPr>
        <w:t>5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See</w:t>
      </w:r>
      <w:r>
        <w:rPr>
          <w:w w:val="98.09230657724234"/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w w:val="98.09230657724234"/>
          <w:rFonts w:ascii="AdvGulliv" w:hAnsi="AdvGulliv" w:eastAsia="AdvGulliv"/>
          <w:b w:val="0"/>
          <w:i w:val="0"/>
          <w:color w:val="007FAD"/>
          <w:sz w:val="13"/>
        </w:rPr>
        <w:hyperlink r:id="rId21" w:history="1">
          <w:r>
            <w:rPr>
              <w:rStyle w:val="Hyperlink"/>
            </w:rPr>
            <w:t>http://www.zoch-verlag.com/spiele/kinderspiele/da-ist-der-wurm-drin.html</w:t>
          </w:r>
        </w:hyperlink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 for the Worm Game.</w:t>
      </w:r>
    </w:p>
    <w:p>
      <w:pPr>
        <w:autoSpaceDN w:val="0"/>
        <w:autoSpaceDE w:val="0"/>
        <w:widowControl/>
        <w:spacing w:line="156" w:lineRule="exact" w:before="146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7</w:t>
      </w:r>
    </w:p>
    <w:p>
      <w:pPr>
        <w:sectPr>
          <w:pgSz w:w="9354" w:h="13606"/>
          <w:pgMar w:top="438" w:right="830" w:bottom="382" w:left="846" w:header="720" w:footer="720" w:gutter="0"/>
          <w:cols w:space="720" w:num="1" w:equalWidth="0"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10" w:lineRule="exact" w:before="220" w:after="0"/>
        <w:ind w:left="0" w:right="22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 game in which color dice show which part of a worm (different colors means different lengths) can be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added to the body of a worm. The player who assembles the longest worm by the end wins the game.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 each intervention session, all games were played by the respective group of children.</w:t>
      </w:r>
    </w:p>
    <w:p>
      <w:pPr>
        <w:autoSpaceDN w:val="0"/>
        <w:autoSpaceDE w:val="0"/>
        <w:widowControl/>
        <w:spacing w:line="194" w:lineRule="exact" w:before="34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Results</w:t>
      </w:r>
    </w:p>
    <w:p>
      <w:pPr>
        <w:autoSpaceDN w:val="0"/>
        <w:autoSpaceDE w:val="0"/>
        <w:widowControl/>
        <w:spacing w:line="208" w:lineRule="exact" w:before="214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Prior to evaluating differential effects of the experimental and control training, we checked for dif-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ferences between these two groups in pretest performance on the evaluation tasks counting princi-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ples, counting objects, recognition of Arabic digits, recognition of number words, and object-based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calculation as well as the consideration of structures task by means of independent-samples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tests.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tests indicated no significant difference in pretest performance for any of the evaluation tasks,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s(93) &lt; 1.36,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&gt; .177 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Table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), as well as the intelligence score,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(93) = 0.014,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.99 (dot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dice group: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M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96.96,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15.03; color or non-numerical symbol [color/symbol] dice group: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96.91,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14.64). Therefore, we refrained from including pretest performance or intelligence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as a covariate in our analyses. However, results did not change substantially when the two covariates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were considered. All analyses were run using SPSS 26 (IBM Corp., Armonk, NY, USA). Missing values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were infrequent (&lt;5% of data points) and were imputed using the regression-based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linear trend at point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option of SPSS.</w:t>
      </w:r>
    </w:p>
    <w:p>
      <w:pPr>
        <w:autoSpaceDN w:val="0"/>
        <w:autoSpaceDE w:val="0"/>
        <w:widowControl/>
        <w:spacing w:line="232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To evaluate differential effectiveness of the two training conditions on children’s numerical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competencies, we conducted a 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3 mixed-model repeated-measures MANOVA discerning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within-participant factor time of testing (pretest vs. posttest vs. follow-up test) and the between-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participant factor training condition (dot dice vs. color/symbol dice). Dependent variables were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TEDI-MATH subscales counting principles, counting objects, recognition of Arabic digits, recognition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of number words, and object-based calculation as well as the consideration of structures task.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overall MANOVA was followed up by univariate analyses to specify results for individual dependent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variables. In case the sphericity assumption was violated for a specific dependent variable, Green-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house–Geisser (GG) coefficients are reported to adjust the respective degrees of freedom together with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adjusted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values.</w:t>
      </w:r>
    </w:p>
    <w:p>
      <w:pPr>
        <w:autoSpaceDN w:val="0"/>
        <w:tabs>
          <w:tab w:pos="234" w:val="left"/>
          <w:tab w:pos="3116" w:val="left"/>
          <w:tab w:pos="3848" w:val="left"/>
          <w:tab w:pos="4884" w:val="left"/>
          <w:tab w:pos="6728" w:val="left"/>
        </w:tabs>
        <w:autoSpaceDE w:val="0"/>
        <w:widowControl/>
        <w:spacing w:line="264" w:lineRule="exact" w:before="0" w:after="0"/>
        <w:ind w:left="0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Moreover, we were interested in specifying whether a differential training effect was primarily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observed for differences between pretest and posttest or also observed for comparisons with perfor-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mance in the follow-up test. Therefore, we broke down the omnibus 3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 MANOVA discerning time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testing (pretest vs. posttest vs. follow-up test) and training group (experimental vs. control) into three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2</w:t>
      </w:r>
      <w:r>
        <w:rPr>
          <w:rFonts w:ascii="AdvP4C4E74" w:hAnsi="AdvP4C4E74" w:eastAsia="AdvP4C4E74"/>
          <w:b w:val="0"/>
          <w:i w:val="0"/>
          <w:color w:val="000000"/>
          <w:sz w:val="16"/>
        </w:rPr>
        <w:t xml:space="preserve"> �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2 MANOVAs with two-level factors of time of testing (pretest vs. posttest, pretest vs. follow-up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test, and posttest vs. follow-up test) and training group (experimental vs. control). Moreover, all MAN-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OVAs were followed-up by univariate analyses to evaluate results for individual dependent variables.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As a measure of effect size, we report partial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>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br/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), which is commonly reported for MANOVAs. 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recommended by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Cohen (1969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see also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Richardson, 2011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), the following benchmarks can be applied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effects being considered small with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TTec369687" w:hAnsi="AdvTTec369687" w:eastAsia="AdvTTec369687"/>
          <w:b w:val="0"/>
          <w:i w:val="0"/>
          <w:color w:val="000000"/>
          <w:sz w:val="16"/>
        </w:rPr>
        <w:t xml:space="preserve"> ~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.01, medium with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TTec369687" w:hAnsi="AdvTTec369687" w:eastAsia="AdvTTec369687"/>
          <w:b w:val="0"/>
          <w:i w:val="0"/>
          <w:color w:val="000000"/>
          <w:sz w:val="16"/>
        </w:rPr>
        <w:t xml:space="preserve"> ~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.06, and large with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TTec369687" w:hAnsi="AdvTTec369687" w:eastAsia="AdvTTec369687"/>
          <w:b w:val="0"/>
          <w:i w:val="0"/>
          <w:color w:val="000000"/>
          <w:sz w:val="16"/>
        </w:rPr>
        <w:t xml:space="preserve"> ~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.14.</w:t>
      </w:r>
    </w:p>
    <w:p>
      <w:pPr>
        <w:autoSpaceDN w:val="0"/>
        <w:autoSpaceDE w:val="0"/>
        <w:widowControl/>
        <w:spacing w:line="192" w:lineRule="exact" w:before="29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Omnibus MANOVA</w:t>
      </w:r>
    </w:p>
    <w:p>
      <w:pPr>
        <w:autoSpaceDN w:val="0"/>
        <w:autoSpaceDE w:val="0"/>
        <w:widowControl/>
        <w:spacing w:line="210" w:lineRule="exact" w:before="21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MANOVA for numerical competencies revealed a significant main effect of time of testing, Pillai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trace = .83,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(12, 82) = 33.29,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&lt; .001,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.83, but no significant main effect of training condition,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Pillai trace = .02,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(6, 88) = 0.35,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.907,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.03. Importantly, the interaction of time of testing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training condition was significant, Pillai trace = .24,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(12, 82) = 2.15,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.022,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.24, indicating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 differential development of numerical competencies for the two groups over the three times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testing.</w:t>
      </w:r>
    </w:p>
    <w:p>
      <w:pPr>
        <w:autoSpaceDN w:val="0"/>
        <w:autoSpaceDE w:val="0"/>
        <w:widowControl/>
        <w:spacing w:line="212" w:lineRule="exact" w:before="0" w:after="0"/>
        <w:ind w:left="0" w:right="22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Subsequent univariate analyses suggested that this differential overall training effect seemed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stem from differential effects of the training on the counting objects subscale of the TEDI-MATH test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our consideration of structures task. For these tasks, training effects seemed to be more pro-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nounced for the experimental training as compared with the control training, as indicated by the sig-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nificant interactions of time of testing and training group [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counting objects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: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(2, 186) = 4.98,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.008,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.04] 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In addition, 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>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.05, GG = .93;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: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(2, 186) = 3.44,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.034,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p</w:t>
      </w:r>
    </w:p>
    <w:p>
      <w:pPr>
        <w:autoSpaceDN w:val="0"/>
        <w:autoSpaceDE w:val="0"/>
        <w:widowControl/>
        <w:spacing w:line="156" w:lineRule="exact" w:before="122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8</w:t>
      </w: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H. Gasteiger and K. Moeller</w:t>
      </w:r>
    </w:p>
    <w:p>
      <w:pPr>
        <w:autoSpaceDN w:val="0"/>
        <w:autoSpaceDE w:val="0"/>
        <w:widowControl/>
        <w:spacing w:line="156" w:lineRule="exact" w:before="240" w:after="0"/>
        <w:ind w:left="0" w:right="0" w:firstLine="0"/>
        <w:jc w:val="left"/>
      </w:pP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Table 1</w:t>
      </w:r>
    </w:p>
    <w:p>
      <w:pPr>
        <w:sectPr>
          <w:type w:val="continuous"/>
          <w:pgSz w:w="9354" w:h="13606"/>
          <w:pgMar w:top="438" w:right="830" w:bottom="382" w:left="852" w:header="720" w:footer="720" w:gutter="0"/>
          <w:cols w:space="720" w:num="2" w:equalWidth="0">
            <w:col w:w="2846" w:space="0"/>
            <w:col w:w="4826" w:space="0"/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412"/>
        <w:ind w:left="0" w:right="22" w:firstLine="0"/>
        <w:jc w:val="righ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sectPr>
          <w:type w:val="nextColumn"/>
          <w:pgSz w:w="9354" w:h="13606"/>
          <w:pgMar w:top="438" w:right="830" w:bottom="382" w:left="852" w:header="720" w:footer="720" w:gutter="0"/>
          <w:cols w:space="720" w:num="2" w:equalWidth="0">
            <w:col w:w="2846" w:space="0"/>
            <w:col w:w="4826" w:space="0"/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12"/>
        <w:ind w:left="0" w:right="0" w:firstLine="0"/>
        <w:jc w:val="left"/>
      </w:pP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 xml:space="preserve">Overview of performance on dependent variables across time points: Solution rates reflecting the proportion of correct answers </w:t>
      </w:r>
      <w:r>
        <w:rPr>
          <w:w w:val="98.09230657724234"/>
          <w:rFonts w:ascii="AdvGulliv" w:hAnsi="AdvGulliv" w:eastAsia="AdvGulliv"/>
          <w:b w:val="0"/>
          <w:i w:val="0"/>
          <w:color w:val="000000"/>
          <w:sz w:val="13"/>
        </w:rPr>
        <w:t>(and 1 standard error of the mean).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84"/>
        </w:trPr>
        <w:tc>
          <w:tcPr>
            <w:tcW w:type="dxa" w:w="2428"/>
            <w:tcBorders>
              <w:top w:sz="25.600000000000023" w:val="single" w:color="#FFFFFF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Dependent variable</w:t>
            </w:r>
          </w:p>
        </w:tc>
        <w:tc>
          <w:tcPr>
            <w:tcW w:type="dxa" w:w="1802"/>
            <w:gridSpan w:val="2"/>
            <w:tcBorders>
              <w:top w:sz="25.600000000000023" w:val="single" w:color="#FFFFFF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Intervention group</w:t>
            </w:r>
          </w:p>
        </w:tc>
        <w:tc>
          <w:tcPr>
            <w:tcW w:type="dxa" w:w="818"/>
            <w:tcBorders>
              <w:top w:sz="25.600000000000023" w:val="single" w:color="#FFFFFF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7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Pretest</w:t>
            </w:r>
          </w:p>
        </w:tc>
        <w:tc>
          <w:tcPr>
            <w:tcW w:type="dxa" w:w="1140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6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Posttest</w:t>
            </w:r>
          </w:p>
        </w:tc>
        <w:tc>
          <w:tcPr>
            <w:tcW w:type="dxa" w:w="1462"/>
            <w:gridSpan w:val="2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6" w:after="0"/>
              <w:ind w:left="0" w:right="17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Follow-up</w:t>
            </w:r>
          </w:p>
        </w:tc>
      </w:tr>
      <w:tr>
        <w:trPr>
          <w:trHeight w:hRule="exact" w:val="202"/>
        </w:trPr>
        <w:tc>
          <w:tcPr>
            <w:tcW w:type="dxa" w:w="2428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2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Counting principles</w:t>
            </w:r>
          </w:p>
        </w:tc>
        <w:tc>
          <w:tcPr>
            <w:tcW w:type="dxa" w:w="1440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2" w:after="0"/>
              <w:ind w:left="33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Dot dice</w:t>
            </w:r>
          </w:p>
        </w:tc>
        <w:tc>
          <w:tcPr>
            <w:tcW w:type="dxa" w:w="1180"/>
            <w:gridSpan w:val="2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2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.30 (.03)</w:t>
            </w:r>
          </w:p>
        </w:tc>
        <w:tc>
          <w:tcPr>
            <w:tcW w:type="dxa" w:w="1492"/>
            <w:gridSpan w:val="2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2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.41 (.03)</w:t>
            </w:r>
          </w:p>
        </w:tc>
        <w:tc>
          <w:tcPr>
            <w:tcW w:type="dxa" w:w="1110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.60 (.03)</w:t>
            </w:r>
          </w:p>
        </w:tc>
      </w:tr>
      <w:tr>
        <w:trPr>
          <w:trHeight w:hRule="exact" w:val="220"/>
        </w:trPr>
        <w:tc>
          <w:tcPr>
            <w:tcW w:type="dxa" w:w="38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Color/Symbol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.27 (.03)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.38 (.03)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.58 (.04)</w:t>
            </w:r>
          </w:p>
        </w:tc>
      </w:tr>
      <w:tr>
        <w:trPr>
          <w:trHeight w:hRule="exact" w:val="200"/>
        </w:trPr>
        <w:tc>
          <w:tcPr>
            <w:tcW w:type="dxa" w:w="2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Counting objects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33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Dot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.64 (.04)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0" w:right="326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.80 (.03)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.84 (.02)</w:t>
            </w:r>
          </w:p>
        </w:tc>
      </w:tr>
      <w:tr>
        <w:trPr>
          <w:trHeight w:hRule="exact" w:val="220"/>
        </w:trPr>
        <w:tc>
          <w:tcPr>
            <w:tcW w:type="dxa" w:w="38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Color/Symbol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.67 (.04)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.72 (.03)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.87 (.02)</w:t>
            </w:r>
          </w:p>
        </w:tc>
      </w:tr>
      <w:tr>
        <w:trPr>
          <w:trHeight w:hRule="exact" w:val="200"/>
        </w:trPr>
        <w:tc>
          <w:tcPr>
            <w:tcW w:type="dxa" w:w="2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Recognition of number symbols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33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Dot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.83 (.03)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.92 (.03)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.95 (.02)</w:t>
            </w:r>
          </w:p>
        </w:tc>
      </w:tr>
      <w:tr>
        <w:trPr>
          <w:trHeight w:hRule="exact" w:val="220"/>
        </w:trPr>
        <w:tc>
          <w:tcPr>
            <w:tcW w:type="dxa" w:w="38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Color/Symbol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.82 (.03)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.85 (.03)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.95 (.02)</w:t>
            </w:r>
          </w:p>
        </w:tc>
      </w:tr>
      <w:tr>
        <w:trPr>
          <w:trHeight w:hRule="exact" w:val="200"/>
        </w:trPr>
        <w:tc>
          <w:tcPr>
            <w:tcW w:type="dxa" w:w="2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Recognition of number words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33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Dot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.81 (.02)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.88 (.02)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.93 (.02)</w:t>
            </w:r>
          </w:p>
        </w:tc>
      </w:tr>
      <w:tr>
        <w:trPr>
          <w:trHeight w:hRule="exact" w:val="200"/>
        </w:trPr>
        <w:tc>
          <w:tcPr>
            <w:tcW w:type="dxa" w:w="38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Color/Symbol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.84 (.02)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.86 (.02)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.90 (.02)</w:t>
            </w:r>
          </w:p>
        </w:tc>
      </w:tr>
      <w:tr>
        <w:trPr>
          <w:trHeight w:hRule="exact" w:val="220"/>
        </w:trPr>
        <w:tc>
          <w:tcPr>
            <w:tcW w:type="dxa" w:w="2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4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Consideration of structures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4" w:after="0"/>
              <w:ind w:left="33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Dot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.50 (.04)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4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.69 (.04)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.84 (.03)</w:t>
            </w:r>
          </w:p>
        </w:tc>
      </w:tr>
      <w:tr>
        <w:trPr>
          <w:trHeight w:hRule="exact" w:val="200"/>
        </w:trPr>
        <w:tc>
          <w:tcPr>
            <w:tcW w:type="dxa" w:w="38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" w:after="0"/>
              <w:ind w:left="0" w:right="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Color/Symbol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.56 (.04)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.61 (.04)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.74 (.03)</w:t>
            </w:r>
          </w:p>
        </w:tc>
      </w:tr>
      <w:tr>
        <w:trPr>
          <w:trHeight w:hRule="exact" w:val="220"/>
        </w:trPr>
        <w:tc>
          <w:tcPr>
            <w:tcW w:type="dxa" w:w="2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2" w:after="0"/>
              <w:ind w:left="17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Object-based calculation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2" w:after="0"/>
              <w:ind w:left="33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Dot dice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2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.25 (.03)</w:t>
            </w:r>
          </w:p>
        </w:tc>
        <w:tc>
          <w:tcPr>
            <w:tcW w:type="dxa" w:w="14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2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.36 (.04)</w:t>
            </w:r>
          </w:p>
        </w:tc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.52 (.04)</w:t>
            </w:r>
          </w:p>
        </w:tc>
      </w:tr>
      <w:tr>
        <w:trPr>
          <w:trHeight w:hRule="exact" w:val="248"/>
        </w:trPr>
        <w:tc>
          <w:tcPr>
            <w:tcW w:type="dxa" w:w="3868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0" w:right="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Color/Symbol dice</w:t>
            </w:r>
          </w:p>
        </w:tc>
        <w:tc>
          <w:tcPr>
            <w:tcW w:type="dxa" w:w="118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0" w:right="0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.27 (.03)</w:t>
            </w:r>
          </w:p>
        </w:tc>
        <w:tc>
          <w:tcPr>
            <w:tcW w:type="dxa" w:w="1492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0" w:right="324" w:firstLine="0"/>
              <w:jc w:val="righ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.32 (.04)</w:t>
            </w:r>
          </w:p>
        </w:tc>
        <w:tc>
          <w:tcPr>
            <w:tcW w:type="dxa" w:w="11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" w:after="0"/>
              <w:ind w:left="0" w:right="0" w:firstLine="0"/>
              <w:jc w:val="center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3"/>
              </w:rPr>
              <w:t>.54 (.04)</w:t>
            </w:r>
          </w:p>
        </w:tc>
      </w:tr>
      <w:tr>
        <w:trPr>
          <w:trHeight w:hRule="exact" w:val="1002"/>
        </w:trPr>
        <w:tc>
          <w:tcPr>
            <w:tcW w:type="dxa" w:w="7650"/>
            <w:gridSpan w:val="7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6" w:after="0"/>
              <w:ind w:left="0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a similar tendency was found for the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recognition of number words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subscale of the TEDI-MATH test,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F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(2, 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186) = 2.75,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p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= .068,</w:t>
            </w:r>
            <w:r>
              <w:rPr>
                <w:rFonts w:ascii="AdvPSMP10" w:hAnsi="AdvPSMP10" w:eastAsia="AdvPSMP10"/>
                <w:b w:val="0"/>
                <w:i w:val="0"/>
                <w:color w:val="000000"/>
                <w:sz w:val="19"/>
              </w:rPr>
              <w:t xml:space="preserve"> g</w:t>
            </w:r>
            <w:r>
              <w:rPr>
                <w:w w:val="102.4592312899503"/>
                <w:rFonts w:ascii="AdvGulliv" w:hAnsi="AdvGulliv" w:eastAsia="AdvGulliv"/>
                <w:b w:val="0"/>
                <w:i w:val="0"/>
                <w:color w:val="000000"/>
                <w:sz w:val="11"/>
              </w:rPr>
              <w:t xml:space="preserve">p </w:t>
            </w:r>
            <w:r>
              <w:rPr>
                <w:w w:val="102.4592312899503"/>
                <w:rFonts w:ascii="AdvGulliv" w:hAnsi="AdvGulliv" w:eastAsia="AdvGulliv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= .03 (see</w:t>
            </w:r>
            <w:r>
              <w:rPr>
                <w:rFonts w:ascii="AdvGulliv" w:hAnsi="AdvGulliv" w:eastAsia="AdvGulliv"/>
                <w:b w:val="0"/>
                <w:i w:val="0"/>
                <w:color w:val="007FAD"/>
                <w:sz w:val="16"/>
              </w:rPr>
              <w:t xml:space="preserve"> Fig. 1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).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234" w:right="0" w:firstLine="0"/>
              <w:jc w:val="left"/>
            </w:pP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Moreover, for all evaluation tasks (i.e., the TEDI-MATH subscales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counting principles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AdvGulliv" w:hAnsi="AdvGulliv" w:eastAsia="AdvGulliv"/>
                <w:b w:val="0"/>
                <w:i w:val="0"/>
                <w:color w:val="000000"/>
                <w:sz w:val="16"/>
              </w:rPr>
              <w:t xml:space="preserve"> counting</w:t>
            </w: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22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objects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recognition of Arabic digits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recognition of number words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object-based calculation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as well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as our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task), the main effect of time of testing was significant,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s(2,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186) &gt; 14.29,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.001,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&gt; .13, indicating an increase of children’s performance over time.</w:t>
      </w:r>
    </w:p>
    <w:p>
      <w:pPr>
        <w:autoSpaceDN w:val="0"/>
        <w:tabs>
          <w:tab w:pos="98" w:val="left"/>
          <w:tab w:pos="234" w:val="left"/>
          <w:tab w:pos="1246" w:val="left"/>
          <w:tab w:pos="2106" w:val="left"/>
          <w:tab w:pos="3134" w:val="left"/>
        </w:tabs>
        <w:autoSpaceDE w:val="0"/>
        <w:widowControl/>
        <w:spacing w:line="208" w:lineRule="exact" w:before="0" w:after="0"/>
        <w:ind w:left="0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Closer inspection of the main effect of time separately for the dot dice group and the color/symbol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dice group indicated that the main effect was significant for both groups [dot dice: Pillai trace = .85,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(2, 36) = 17.33,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&lt; .001,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.85; color/symbol dice: Pillai trace = .84,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(2, 35) = 15.62,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&lt; .001, 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>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.84], indicating an increase of early numerical competencies over time in both groups. Univariate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analyses indicated that this was the case for performance in all evaluation tasks for both the dot dice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group,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s(2, 94) &gt; 8.06,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.01,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br/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&gt; .14, and the color/symbol dice group,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s(2, 92) &gt; 7.69,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.01,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 &gt; .15. Subsequent Bonferroni-corrected pairwise comparisons revealed significant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differences between pretest and posttest performance for all scales (all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 &lt; .05) for the dot dice group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for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counting principles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scale (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&lt; .05) for the color/symbol dice group. Performance differences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between posttest and follow-up test performance were significant for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counting principles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recogni-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 of number words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object-based calculation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subscales as well as for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structures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task (all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.05) for the dot dice group and for all scales (all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 &lt; .05) for the color/symbol dice group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Differences between pretest and follow-up test performance were significant for all scales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both the dot dice and color/symbol dice groups (all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.05).</w:t>
      </w:r>
    </w:p>
    <w:p>
      <w:pPr>
        <w:autoSpaceDN w:val="0"/>
        <w:tabs>
          <w:tab w:pos="234" w:val="left"/>
          <w:tab w:pos="3090" w:val="left"/>
        </w:tabs>
        <w:autoSpaceDE w:val="0"/>
        <w:widowControl/>
        <w:spacing w:line="218" w:lineRule="exact" w:before="0" w:after="0"/>
        <w:ind w:left="0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main effect of training condition was not significant for any of the evaluation subscales and </w:t>
      </w:r>
      <w:r>
        <w:tab/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 &lt; .01.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tasks,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s(1, 93) &lt; 1,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&gt; .328,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p</w:t>
      </w:r>
    </w:p>
    <w:p>
      <w:pPr>
        <w:autoSpaceDN w:val="0"/>
        <w:autoSpaceDE w:val="0"/>
        <w:widowControl/>
        <w:spacing w:line="192" w:lineRule="exact" w:before="416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Pretest–posttest differences (training effect)</w:t>
      </w:r>
    </w:p>
    <w:p>
      <w:pPr>
        <w:autoSpaceDN w:val="0"/>
        <w:autoSpaceDE w:val="0"/>
        <w:widowControl/>
        <w:spacing w:line="208" w:lineRule="exact" w:before="214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 MANOVA evaluating pretest–posttest differences on numerical competencies indicated a sig-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nificant main effect of time of testing, Pillai trace = .54,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(6, 88) = 17.51,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&lt; .001,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.54, but no sig-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nificant main effect of training condition, Pillai trace = .02,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(6, 88) = 0.36,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.90,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.02. Again, the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interaction of time of testing and training condition was significant, Pillai trace = .18,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(6, 88) = 3.21,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.007,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.18, suggesting a differential development of numerical competencies between pretest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posttest.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Subsequent univariate analyses revealed that this differential overall training effect resulted from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more pronounced training effects for the experimental group as compared with the control group 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TEDI-MATH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counting objects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 as well as on our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task, as indicated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by the significant interactions of time of testing and training group [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counting objects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: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(1, 93) = 9.75,</w:t>
      </w:r>
    </w:p>
    <w:p>
      <w:pPr>
        <w:autoSpaceDN w:val="0"/>
        <w:autoSpaceDE w:val="0"/>
        <w:widowControl/>
        <w:spacing w:line="156" w:lineRule="exact" w:before="13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9</w:t>
      </w:r>
    </w:p>
    <w:p>
      <w:pPr>
        <w:sectPr>
          <w:type w:val="continuous"/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2846" w:space="0"/>
            <w:col w:w="4826" w:space="0"/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40" w:lineRule="auto" w:before="2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20540" cy="41897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189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2" w:lineRule="exact" w:before="162" w:after="0"/>
        <w:ind w:left="0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Fig. 1.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Changes of solution rates for the individual evaluation tasks separated for children attending the dot dice intervention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and the color/symbol dice intervention: (A) counting principles; (B) counting objects; (C) recognition of number symbols; (D)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recognition of number words; (E) consideration of structures; (F) object-based calculation. Asterisks (*) indicate significant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differences between task performance between testing times for the dot dice group (black asterisks) and the color/symbol dice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group (gray asterisks). Asterisks at pretest and posttest reflect significantly different training effects between the dot dice and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color/symbol dice groups. Asterisk in parentheses indicates a tendency for a more pronounced training effect.</w:t>
      </w:r>
    </w:p>
    <w:p>
      <w:pPr>
        <w:autoSpaceDN w:val="0"/>
        <w:autoSpaceDE w:val="0"/>
        <w:widowControl/>
        <w:spacing w:line="246" w:lineRule="exact" w:before="278" w:after="0"/>
        <w:ind w:left="0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.002,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.10;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: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(1, 93) = 4.64,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.034,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.05 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A similar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trend was observed for the TEDI-MATH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recognition of number words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(1, 93) = 3.21,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.077,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.03.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Furthermore, for all the TEDI-MATH subscales used (i.e.,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counting principles, counting objects, recog-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nition of Arabic digits, recognition of number words, object-based calculation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and our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task, the main effect of time of testing was significant,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s(1, 93) &gt; 6.69,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 &lt; .012,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&gt; .07, indicating an increase of children’s performance from pretest to posttest 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tabs>
          <w:tab w:pos="234" w:val="left"/>
          <w:tab w:pos="3650" w:val="left"/>
        </w:tabs>
        <w:autoSpaceDE w:val="0"/>
        <w:widowControl/>
        <w:spacing w:line="212" w:lineRule="exact" w:before="0" w:after="0"/>
        <w:ind w:left="0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Again, the main effect of training condition was not significant for any of the evaluation subscales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tasks,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s(1, 93) &lt; 1.30,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&gt; .259,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.015.</w:t>
      </w:r>
    </w:p>
    <w:p>
      <w:pPr>
        <w:autoSpaceDN w:val="0"/>
        <w:autoSpaceDE w:val="0"/>
        <w:widowControl/>
        <w:spacing w:line="192" w:lineRule="exact" w:before="366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Pretest–follow-up test differences (long-term training effect)</w:t>
      </w:r>
    </w:p>
    <w:p>
      <w:pPr>
        <w:autoSpaceDN w:val="0"/>
        <w:autoSpaceDE w:val="0"/>
        <w:widowControl/>
        <w:spacing w:line="210" w:lineRule="exact" w:before="210" w:after="0"/>
        <w:ind w:left="0" w:right="0" w:firstLine="234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MANOVA evaluating differential developments of numerical competencies between pretest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follow-up test revealed a significant main effect of time of testing, Pillai trace = .82,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(6,</w:t>
      </w:r>
    </w:p>
    <w:p>
      <w:pPr>
        <w:autoSpaceDN w:val="0"/>
        <w:autoSpaceDE w:val="0"/>
        <w:widowControl/>
        <w:spacing w:line="156" w:lineRule="exact" w:before="13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10</w:t>
      </w:r>
    </w:p>
    <w:p>
      <w:pPr>
        <w:sectPr>
          <w:pgSz w:w="9354" w:h="13606"/>
          <w:pgMar w:top="440" w:right="832" w:bottom="382" w:left="852" w:header="720" w:footer="720" w:gutter="0"/>
          <w:cols w:space="720" w:num="1" w:equalWidth="0">
            <w:col w:w="7670" w:space="0"/>
            <w:col w:w="7671" w:space="0"/>
            <w:col w:w="2846" w:space="0"/>
            <w:col w:w="4826" w:space="0"/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46" w:lineRule="exact" w:before="128" w:after="0"/>
        <w:ind w:left="0" w:right="22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88) = 65.06,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&lt; .001,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.82, but no significant main effect of training condition, Pillai trace = .07,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(6,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88) = 0.72,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.63,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.05. The interaction of time of testing and training condition was also not sig-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nificant, Pillai trace = .10,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(6, 88) = 1.69,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.13,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.10.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Subsequent univariate analyses suggested a significant differential training effect with more pro-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nounced training gains for the experimental group as compared with the control group on our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eration of 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task, as indicated by the significant interaction of time of testing and training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group,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(1, 93) = 5.43,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.022,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.06 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For the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recognition of number words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the TEDI-MATH test, the interaction indicated a similar tendency,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(1, 93) = 3.79,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.054,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.04.</w:t>
      </w:r>
    </w:p>
    <w:p>
      <w:pPr>
        <w:autoSpaceDN w:val="0"/>
        <w:autoSpaceDE w:val="0"/>
        <w:widowControl/>
        <w:spacing w:line="206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Furthermore, for all dependent variables (i.e., the TEDI-MATH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counting principles, counting objects,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recognition of Arabic digits, recognition of number words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and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object-based calculation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subscales as well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as our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task), the main effect of time of testing was significant, [all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s(1,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93) &gt; 26.91,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.001,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 &gt; .22, indicating an increase of children’s performance from pretest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to follow-up test on these scales 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tabs>
          <w:tab w:pos="234" w:val="left"/>
          <w:tab w:pos="3554" w:val="left"/>
        </w:tabs>
        <w:autoSpaceDE w:val="0"/>
        <w:widowControl/>
        <w:spacing w:line="218" w:lineRule="exact" w:before="0" w:after="0"/>
        <w:ind w:left="0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Again, the main effect of training condition was not significant for any of the evaluation subscales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tasks,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s(1, 93) &lt; 0.90,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&gt; .34,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.01.</w:t>
      </w:r>
    </w:p>
    <w:p>
      <w:pPr>
        <w:autoSpaceDN w:val="0"/>
        <w:autoSpaceDE w:val="0"/>
        <w:widowControl/>
        <w:spacing w:line="190" w:lineRule="exact" w:before="29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Posttest–follow-up test differences (stability of training effect)</w:t>
      </w:r>
    </w:p>
    <w:p>
      <w:pPr>
        <w:autoSpaceDN w:val="0"/>
        <w:tabs>
          <w:tab w:pos="98" w:val="left"/>
          <w:tab w:pos="234" w:val="left"/>
          <w:tab w:pos="1670" w:val="left"/>
          <w:tab w:pos="4512" w:val="left"/>
          <w:tab w:pos="4614" w:val="left"/>
        </w:tabs>
        <w:autoSpaceDE w:val="0"/>
        <w:widowControl/>
        <w:spacing w:line="210" w:lineRule="exact" w:before="212" w:after="0"/>
        <w:ind w:left="0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Finally, comparable to previous results, the MANOVA evaluating differential developments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numerical competencies between posttest and follow-up test indicated a significant main effect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time of testing, Pillai trace = .60,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(6, 88) = 21.77,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&lt; .001,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.60, but no significant main effect of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training condition, Pillai trace = .06,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(6, 88) = 0.97,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.45,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.06. In addition, the interaction of time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of testing and training condition was marginally significant, Pillai trace = .12,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(6, 88) = 2.00,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.074,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.12. </w:t>
      </w:r>
      <w:r>
        <w:br/>
      </w:r>
      <w:r>
        <w:rPr>
          <w:rFonts w:ascii="AdvPSMP10" w:hAnsi="AdvPSMP10" w:eastAsia="AdvPSMP10"/>
          <w:b w:val="0"/>
          <w:i w:val="0"/>
          <w:color w:val="000000"/>
          <w:sz w:val="19"/>
        </w:rPr>
        <w:t>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Subsequent univariate analyses revealed a differential training effect for the TEDI-Math subscale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counting objects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as indicated by the significant interaction of time of testing and training group,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(1,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93) = 7.52,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.007,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.03 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), reflecting a more pronounced improvement for the control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group from posttest to follow-up test.</w:t>
      </w:r>
    </w:p>
    <w:p>
      <w:pPr>
        <w:autoSpaceDN w:val="0"/>
        <w:tabs>
          <w:tab w:pos="234" w:val="left"/>
          <w:tab w:pos="2224" w:val="left"/>
        </w:tabs>
        <w:autoSpaceDE w:val="0"/>
        <w:widowControl/>
        <w:spacing w:line="208" w:lineRule="exact" w:before="0" w:after="0"/>
        <w:ind w:left="0" w:right="0" w:firstLine="0"/>
        <w:jc w:val="left"/>
      </w:pPr>
      <w:r>
        <w:tab/>
      </w:r>
      <w:r>
        <w:rPr>
          <w:rFonts w:ascii="AdvGulliv" w:hAnsi="AdvGulliv" w:eastAsia="AdvGulliv"/>
          <w:b w:val="0"/>
          <w:i w:val="0"/>
          <w:color w:val="000000"/>
          <w:sz w:val="16"/>
        </w:rPr>
        <w:t>Moreover, for all dependent variables, the main effect of time of testing was significant,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s(1, </w:t>
      </w:r>
      <w:r>
        <w:tab/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 &gt; .08, indicating an increase of children’s performance from posttest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93) &gt; 8.05,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.006,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br/>
      </w:r>
      <w:r>
        <w:rPr>
          <w:rFonts w:ascii="AdvGulliv" w:hAnsi="AdvGulliv" w:eastAsia="AdvGulliv"/>
          <w:b w:val="0"/>
          <w:i w:val="0"/>
          <w:color w:val="000000"/>
          <w:sz w:val="16"/>
        </w:rPr>
        <w:t>to follow-up-test on these scales (see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Fig. 1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14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 main effect of training condition was not significant for all TEDI-MATH subscales,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s(1,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93) &lt; 2.12, all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&gt; .149, all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 &lt; .03. However, for our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consideration of structures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task, a significant dif-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ference favoring the experimental group was observed (solution rates of 76% vs. 68%),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F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(1, 93) = 4.16,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.044,</w:t>
      </w:r>
      <w:r>
        <w:rPr>
          <w:rFonts w:ascii="AdvPSMP10" w:hAnsi="AdvPSMP10" w:eastAsia="AdvPSMP10"/>
          <w:b w:val="0"/>
          <w:i w:val="0"/>
          <w:color w:val="000000"/>
          <w:sz w:val="19"/>
        </w:rPr>
        <w:t xml:space="preserve"> g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 xml:space="preserve">p </w:t>
      </w:r>
      <w:r>
        <w:rPr>
          <w:w w:val="102.4592312899503"/>
          <w:rFonts w:ascii="AdvGulliv" w:hAnsi="AdvGulliv" w:eastAsia="AdvGulliv"/>
          <w:b w:val="0"/>
          <w:i w:val="0"/>
          <w:color w:val="000000"/>
          <w:sz w:val="11"/>
        </w:rPr>
        <w:t>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= .04.</w:t>
      </w:r>
    </w:p>
    <w:p>
      <w:pPr>
        <w:autoSpaceDN w:val="0"/>
        <w:autoSpaceDE w:val="0"/>
        <w:widowControl/>
        <w:spacing w:line="196" w:lineRule="exact" w:before="326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Discussion</w:t>
      </w:r>
    </w:p>
    <w:p>
      <w:pPr>
        <w:autoSpaceDN w:val="0"/>
        <w:autoSpaceDE w:val="0"/>
        <w:widowControl/>
        <w:spacing w:line="210" w:lineRule="exact" w:before="21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In this study, we investigated a new aspect of how playing board games may support early numer-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ical development. So far, many studies evaluating the effects of playing board games for numerical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learning used games specifically developed for training purposes. Therefore, some of these games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were very simple in terms of their format or rules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Elofsson et al., 2016; Siegler &amp; Ramani,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2008, 2009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In our study, we used no specifically developed games but rather conventional board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games as played in kindergarten or at home to evaluate effects of playing board games on numerical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development. In particular, we focused on existing conventional games (e.g., Parcheesi) with a tradi-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tional number dice (with dot faces numbered from one to six) instead of spinners with symbolic num-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bers. We hypothesized that this should foster children’s early numerical competencies such 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counting and conceptual subitizing. Therefore, we not only focused on classical predictors reflecting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measures of early numeracy (e.g., counting) but also considered recognizing and considering struc-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tures in terms of conceptual subitizing because the latter was observed to be predictive of later math-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ematical competencies in recent studies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Lüken, 2012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08" w:lineRule="exact" w:before="0" w:after="0"/>
        <w:ind w:left="0" w:right="0" w:firstLine="234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Overall, we observed that playing conventional board games in ecologically valid natural play sit-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uations (i.e., small groups of children with an adult facilitator who had been instructed as explained</w:t>
      </w:r>
    </w:p>
    <w:p>
      <w:pPr>
        <w:autoSpaceDN w:val="0"/>
        <w:autoSpaceDE w:val="0"/>
        <w:widowControl/>
        <w:spacing w:line="156" w:lineRule="exact" w:before="13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11</w:t>
      </w: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0" w:space="0"/>
            <w:col w:w="7671" w:space="0"/>
            <w:col w:w="2846" w:space="0"/>
            <w:col w:w="4826" w:space="0"/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08" w:lineRule="exact" w:before="222" w:after="0"/>
        <w:ind w:left="0" w:right="20" w:firstLine="0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above) indeed supported children’s development of early numerical competencies. These results are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line with those from the studies of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Elofsson et al. (2016) and Whyte and Bull (2008)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who also found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that children in the experimental group but also children in the control groups (e.g., playing color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games and circular games), and in some subscales even in the passive control group, improved in their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early numerical competencies over time. It is known that children develop their numerical competen-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cies considerably from 4 to 6 years of age simply as a matter of maturation.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Therefore, the most important result of our study is the differential intervention effect for the two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intervention conditions. Training effects were significantly more pronounced for the group playing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conventional, commercially available board games using traditional dot dice. In particular, pretest–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posttest comparisons clearly indicated that children who played board games using traditional dot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dice (instead of color/symbol dice) benefitted more from the intervention in terms of their counting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skills and their conceptual subitizing ability (i.e., considering structures to indicate the number of ele-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ments of a set)—in line with our expectations.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Regarding the improvement in their counting skills, it seems obvious that children actually counted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when they moved their tokens on the board matching steps to number words. In addition, adult players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reported that—based on their observations—some children counted the dots on dice during the first few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play sessions only. With training progression, adult players were of the impression that children improved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 recognizing the dot patterns more directly without counting—probably referring to conceptual subitiz-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ing.Thisargumentiscorroboratedbythesignificantimprovementsobservedfortheconsiderationofstruc-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tures task. One might speculate that this progress may represent a development in the acuity of children’s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approximate number sense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Piazza et al., 2010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Importantly, it needs to be noted that we obtained these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beneficial effectseven thoughtherewereno specificnumerical instructions.Adultplayerssimplyserved 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role models and/or provided moderate guidance, meaning that they named the number shown on the dice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after rolling it when it was their turn, they counted aloud or named the colors/symbols when moving their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token forward, and they asked the other children to help in case a co-player struggled (or they gave a short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verbal stimulation, e.g., ‘‘Count once again,” ‘‘Your token was here”).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As such, our results substantiate the findings of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Whyte and Bull (2008) and Ramani and Siegler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(2008)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that numerical board games support mathematical learning better than color board games.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Importantly, however, the current study replicated this finding for conventional and commercially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available board games played with dot dice as we observed differential training gains for counting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conceptual subitizing. For future research, it would be interesting to compare board games played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 dice with symbolic numbers on them as compared with traditional number dice (with dot faces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numbered from one to six) to specify effects of different dice for early numerical development. One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might assume that games with traditional dot dice can be played with children at an early age. To play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with dot dice, children only need to count from one to six or recognize the respective structured quan-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tities accordingly. However, it is not necessary to already master Arabic number symbols.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Thus, children in the experimental group improved significantly in the recognition of number sym-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bols scale. Playing with dot dice may foster processing of nonsymbolic quantities, which in turn has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been argued to be a building block for the development of symbolic numerical abilities (e.g.,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Krajewski &amp; Schneider, 2009; Verguts &amp; Fias, 2004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Using symbols means to transfer the cardinal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meanings of the number words or symbols without needing to count. Moreover, reading dot patterns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quickly means to recognize structured sets (e.g., ‘‘I see six—three and three”), which was observed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predict the development of later basic arithmetical competencies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Lüken, 2012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In this context, it 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interesting to refer to the research of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Purpura, Baroody, and Lonigan (2013)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, who showed that identi-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fying numerals or mapping numerals on number words or nonsymbolic quantities seems to be an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important bridge between informal and formal mathematical knowledge.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general, early counting skills are considered to be a relevant and meaningful predictor for further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mathematical development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Geary, 2011; Jordan, Glutting, &amp; Ramineni, 2010; Krajewski &amp;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Schneider, 2009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Moreover, the ability to use structures to derive the number of elements of a set—an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early competence to recognize patterns—was also observed to be associated with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Mulligan &amp;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Mitchelmore 2009; Obersteiner, et al., 2014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), or to be a powerful predictor of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Lüken, 2012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), arith-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metical competencies during the first years of school. Taken together, it can be said that—with counting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conceptual subitizing—playing conventional dot dice board games fostered children’s development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of important cornerstones for further numerical and mathematical development.</w:t>
      </w:r>
    </w:p>
    <w:p>
      <w:pPr>
        <w:autoSpaceDN w:val="0"/>
        <w:autoSpaceDE w:val="0"/>
        <w:widowControl/>
        <w:spacing w:line="156" w:lineRule="exact" w:before="13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12</w:t>
      </w: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1" w:space="0"/>
            <w:col w:w="7670" w:space="0"/>
            <w:col w:w="7671" w:space="0"/>
            <w:col w:w="2846" w:space="0"/>
            <w:col w:w="4826" w:space="0"/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10" w:lineRule="exact" w:before="22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 novelty of our study, compared with most previous intervention studies using board games (e.g.,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Elofsson et al., 2016; Laski &amp; Siegler, 2014; Peters, 1998; Ramani &amp; Siegler, 2008; Siegler &amp; Ramani,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2008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), is the follow-up test conducted 1 year after the intervention. The results of the current study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revealed that the more pronounced beneficial effects of playing board games using traditional dot dice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on children’s ability to consider and use structures prevailed at least until the follow-up test 1 year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after the intervention. This result is specifically remarkable and promising because the recognition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consideration of structures—the conceptual subitizing ability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Clements, 1999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)—is an important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highly relevant aspect in early mathematics education and is a significant predictor of later math-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ematical achievement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Nguyen et al., 2016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Children in the dot dice group did not perform signifi-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cantly better in the counting objects subscale 1 year after the intervention. One may speculate that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 solution rates of about 85% on average at the follow-up test, children in the color/symbol dice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group caught up to children in the dot dice group to an age appropriate counting performance, leading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to the observed (near) ceiling effect.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These results on the beneficial effects of playing conventional board games using dot dice are espe-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cially promising against the background that children’s numerical and mathematical competencies are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already very heterogeneous before the onset of formal schooling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Anders et al. 2013; Kamii,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Rummelsburg, &amp; Kari, 2005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Synced with the observed relevance of early numerical competencies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for later academic achievement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Duncan et al., 2007, Nguyen et al., 2016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 but also for socioeco-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nomic life prospects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Ritchie &amp; Bates, 2013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), this calls for a strong focus on fostering early numer-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ical learning with respect to children’s capacities and needs.</w:t>
      </w:r>
    </w:p>
    <w:p>
      <w:pPr>
        <w:autoSpaceDN w:val="0"/>
        <w:autoSpaceDE w:val="0"/>
        <w:widowControl/>
        <w:spacing w:line="210" w:lineRule="exact" w:before="0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As such, the results of the current intervention study are meaningful. Playing board games is an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activity that can easily be integrated into not only family life but also preschool (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Ramani et al.,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2012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 or kindergarten. The games we used are offered for the age range of 3 to 6 years. In our sample,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we had children with low and high mathematical competencies. Therefore, we assume that these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games should be possible to play with children with different dispositions or family backgrounds.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addition, no specific materials are needed other than conventional board games, and parents 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kindergarten teachers do not need to be trained extensively for the intervention. The sole purpose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of pretraining adult players in the current study was to familiarize them with what they needed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do (i.e., to behave like in a natural play situation). The intention was that they should play as consci-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entious parents would do with their children without any specific intention on training.</w:t>
      </w:r>
    </w:p>
    <w:p>
      <w:pPr>
        <w:autoSpaceDN w:val="0"/>
        <w:autoSpaceDE w:val="0"/>
        <w:widowControl/>
        <w:spacing w:line="208" w:lineRule="exact" w:before="2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Nevertheless, transferring the intervention to family settings should be accompanied by additional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considerations.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Sonnenschein, Metzger, Dowling, Gay, and Simons (2016)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 stated that bringing an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effective classroom intervention to a child’s home requires several aspects to be considered. For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instance, it may be helpful to inform parents that playing these games can be effective when these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games are played in a way where the parents serve as role models for playing (e.g., naming the num-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ber on the dice when it is their turn, counting aloud when moving their token forward, asking other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children to help in case a co-player struggles during the game).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As a potential limitation of our study it needs to be considered that we did not control for differ-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ences in parents’ activities in terms of playing board games with their children in general and during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training period in particular. Future studies should take this into account by assessing the home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numeracy environment of participating children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LeFevre et al., 2009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). Moreover, although there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is no mathematics curriculum, and thus no formal instruction on numerical content, in kindergartens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Germany, we did not control explicitly whether individual kindergarten teachers may have spent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time on activities involving numerical content over the time of the study. However, if they did so, this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should have happened randomly depending on individual kindergartens and kindergarten teachers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and thus should not have biased our results systematically. Another potential limitation might be that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3 of the 10 adult players in the intervention sessions tested the children in pretest, posttest, and/or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follow-up test. Although these students were trained explicitly to act objectively in the play sessions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and the test situations, they were not blinded as to the aim of the current study. Following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Holman,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Head, Lanfear, and Jennions (2015)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, this might have increased effect sizes. In addition, it needs to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be considered that children in the dot dice group played three different games, whereas children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the color/symbol dice group played only two different games, which may have led to differences in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children’s engagement during the intervention.</w:t>
      </w:r>
    </w:p>
    <w:p>
      <w:pPr>
        <w:autoSpaceDN w:val="0"/>
        <w:autoSpaceDE w:val="0"/>
        <w:widowControl/>
        <w:spacing w:line="156" w:lineRule="exact" w:before="348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13</w:t>
      </w: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1" w:space="0"/>
            <w:col w:w="7671" w:space="0"/>
            <w:col w:w="7670" w:space="0"/>
            <w:col w:w="7671" w:space="0"/>
            <w:col w:w="2846" w:space="0"/>
            <w:col w:w="4826" w:space="0"/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autoSpaceDE w:val="0"/>
        <w:widowControl/>
        <w:spacing w:line="208" w:lineRule="exact" w:before="222" w:after="0"/>
        <w:ind w:left="0" w:right="22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Regarding the transfer of our results to family and settings of nonformal schooling such as kinder-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garten, there seem to be limitations to consider. Children in our study played with an adult and not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only with other peers, as is often the case. In addition, they played seven times for 30 min in our 4-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week intervention, which might not necessarily be the case in children’s everyday experiences.</w:t>
      </w:r>
    </w:p>
    <w:p>
      <w:pPr>
        <w:autoSpaceDN w:val="0"/>
        <w:autoSpaceDE w:val="0"/>
        <w:widowControl/>
        <w:spacing w:line="210" w:lineRule="exact" w:before="0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Importantly, however, many board games for children at that early age use non-numerical symbol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or color dice. Therefore, it needs to be emphasized that playing board games with traditional number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dice (with dot faces numbered from one to six) was found to be significantly more effective in foster-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ing children’s numerical development. In particular, this held for counting skills as well as for the con-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ceptual subitizing ability (i.e., recognizing and using structures), both of which were previously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observed to be associated with (later) mathematical competencies (counting: 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Jordan et al.,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2010; Krajewski &amp; Schneider, 2009; Nguyen et al. 2016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; conceptual subitizing: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Lüken, 2012; 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>Mulligan &amp; Mitchelmore 2009; Obersteiner et al., 2014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08" w:lineRule="exact" w:before="2" w:after="0"/>
        <w:ind w:left="0" w:right="20" w:firstLine="234"/>
        <w:jc w:val="both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 sum, our study indicates that playing conventional board games using standard dot dice can be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seen as an effective low-threshold intervention for important cornerstones in early numerical learn-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ing. Dice games are present in many kindergarten groups, and there are first experiences with lending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games to families, similar to checking out books from a library (e.g.,</w:t>
      </w:r>
      <w:r>
        <w:rPr>
          <w:rFonts w:ascii="AdvGulliv" w:hAnsi="AdvGulliv" w:eastAsia="AdvGulliv"/>
          <w:b w:val="0"/>
          <w:i w:val="0"/>
          <w:color w:val="007FAD"/>
          <w:sz w:val="16"/>
        </w:rPr>
        <w:t xml:space="preserve"> Streit-Lehmann, 2017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). In sum-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mary, dice games reflect a natural learning context for young children that can be easily implemented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 xml:space="preserve">without explicit mathematical training and thus may help to address early heterogeneity in children’s </w:t>
      </w:r>
      <w:r>
        <w:rPr>
          <w:rFonts w:ascii="AdvGulliv" w:hAnsi="AdvGulliv" w:eastAsia="AdvGulliv"/>
          <w:b w:val="0"/>
          <w:i w:val="0"/>
          <w:color w:val="000000"/>
          <w:sz w:val="16"/>
        </w:rPr>
        <w:t>mathematical competencies.</w:t>
      </w:r>
    </w:p>
    <w:p>
      <w:pPr>
        <w:autoSpaceDN w:val="0"/>
        <w:autoSpaceDE w:val="0"/>
        <w:widowControl/>
        <w:spacing w:line="196" w:lineRule="exact" w:before="286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Acknowledgment</w:t>
      </w:r>
    </w:p>
    <w:p>
      <w:pPr>
        <w:autoSpaceDN w:val="0"/>
        <w:autoSpaceDE w:val="0"/>
        <w:widowControl/>
        <w:spacing w:line="196" w:lineRule="exact" w:before="224" w:after="0"/>
        <w:ind w:left="24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We thank Priti Meredith for her help with English language editing.</w:t>
      </w:r>
    </w:p>
    <w:p>
      <w:pPr>
        <w:autoSpaceDN w:val="0"/>
        <w:autoSpaceDE w:val="0"/>
        <w:widowControl/>
        <w:spacing w:line="196" w:lineRule="exact" w:before="28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6"/>
        </w:rPr>
        <w:t>References</w:t>
      </w:r>
    </w:p>
    <w:p>
      <w:pPr>
        <w:autoSpaceDN w:val="0"/>
        <w:autoSpaceDE w:val="0"/>
        <w:widowControl/>
        <w:spacing w:line="160" w:lineRule="exact" w:before="194" w:after="0"/>
        <w:ind w:left="238" w:right="22" w:hanging="238"/>
        <w:jc w:val="both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3" w:history="1">
          <w:r>
            <w:rPr>
              <w:rStyle w:val="Hyperlink"/>
            </w:rPr>
            <w:t>Anders, Y., Grosse, C., Rossbach, H.-G., Ebert, S., &amp; Weinert, S. (2013). Preschool and primary school influences on th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e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3" w:history="1">
          <w:r>
            <w:rPr>
              <w:rStyle w:val="Hyperlink"/>
            </w:rPr>
            <w:t>development of children’s early numeracy skills between the ages of 3 and 7 years in Germany.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3" w:history="1">
          <w:r>
            <w:rPr>
              <w:rStyle w:val="Hyperlink"/>
            </w:rPr>
            <w:t xml:space="preserve"> School Effectiveness and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3" w:history="1">
          <w:r>
            <w:rPr>
              <w:rStyle w:val="Hyperlink"/>
            </w:rPr>
            <w:t>School Improvement, 24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3" w:history="1">
          <w:r>
            <w:rPr>
              <w:rStyle w:val="Hyperlink"/>
            </w:rPr>
            <w:t>, 195–211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4" w:history="1">
          <w:r>
            <w:rPr>
              <w:rStyle w:val="Hyperlink"/>
            </w:rPr>
            <w:t xml:space="preserve">Beddington, J., Cooper, C. L., Field, J., Goswami, U., Huppert, F. A., Jenkins, R., &amp; Thomas, S. M. (2008). The mental wealth of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4" w:history="1">
          <w:r>
            <w:rPr>
              <w:rStyle w:val="Hyperlink"/>
            </w:rPr>
            <w:t>nations.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4" w:history="1">
          <w:r>
            <w:rPr>
              <w:rStyle w:val="Hyperlink"/>
            </w:rPr>
            <w:t xml:space="preserve"> Nature, 455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4" w:history="1">
          <w:r>
            <w:rPr>
              <w:rStyle w:val="Hyperlink"/>
            </w:rPr>
            <w:t>, 1057–1060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5" w:history="1">
          <w:r>
            <w:rPr>
              <w:rStyle w:val="Hyperlink"/>
            </w:rPr>
            <w:t>Bjorklund, D., Hubertz, M., &amp; Reubens, A. (2004). Young children’s arithmetic strategies in social context.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5" w:history="1">
          <w:r>
            <w:rPr>
              <w:rStyle w:val="Hyperlink"/>
            </w:rPr>
            <w:t xml:space="preserve"> International Journal of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5" w:history="1">
          <w:r>
            <w:rPr>
              <w:rStyle w:val="Hyperlink"/>
            </w:rPr>
            <w:t>Behavioral Development, 28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5" w:history="1">
          <w:r>
            <w:rPr>
              <w:rStyle w:val="Hyperlink"/>
            </w:rPr>
            <w:t>, 347–357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0" w:right="72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6" w:history="1">
          <w:r>
            <w:rPr>
              <w:rStyle w:val="Hyperlink"/>
            </w:rPr>
            <w:t>Butterworth, B., Varma, S., &amp; Laurillard, D. (2011). Dyscalculia: From brain to education.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6" w:history="1">
          <w:r>
            <w:rPr>
              <w:rStyle w:val="Hyperlink"/>
            </w:rPr>
            <w:t xml:space="preserve"> Science, 332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6" w:history="1">
          <w:r>
            <w:rPr>
              <w:rStyle w:val="Hyperlink"/>
            </w:rPr>
            <w:t>, 1049–1053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7" w:history="1">
          <w:r>
            <w:rPr>
              <w:rStyle w:val="Hyperlink"/>
            </w:rPr>
            <w:t>Clements, D. H. (1999). Subitizing: What is it? Why teach it?.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7" w:history="1">
          <w:r>
            <w:rPr>
              <w:rStyle w:val="Hyperlink"/>
            </w:rPr>
            <w:t xml:space="preserve"> Teaching Children Mathematics, 5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7" w:history="1">
          <w:r>
            <w:rPr>
              <w:rStyle w:val="Hyperlink"/>
            </w:rPr>
            <w:t>, 400–405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8" w:history="1">
          <w:r>
            <w:rPr>
              <w:rStyle w:val="Hyperlink"/>
            </w:rPr>
            <w:t>Cohen, J. (1969).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8" w:history="1">
          <w:r>
            <w:rPr>
              <w:rStyle w:val="Hyperlink"/>
            </w:rPr>
            <w:t xml:space="preserve"> Statistical power analysis for the behavioural sciences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8" w:history="1">
          <w:r>
            <w:rPr>
              <w:rStyle w:val="Hyperlink"/>
            </w:rPr>
            <w:t>. New York: Academic Press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9" w:history="1">
          <w:r>
            <w:rPr>
              <w:rStyle w:val="Hyperlink"/>
            </w:rPr>
            <w:t xml:space="preserve">De Smedt, B., Verschaffel, L., &amp; Gesquiere, P. (2009). The predictive values or numerical magnitude comparison for individual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9" w:history="1">
          <w:r>
            <w:rPr>
              <w:rStyle w:val="Hyperlink"/>
            </w:rPr>
            <w:t>differences in mathematics achievement.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9" w:history="1">
          <w:r>
            <w:rPr>
              <w:rStyle w:val="Hyperlink"/>
            </w:rPr>
            <w:t xml:space="preserve"> Journal of Experimental Child Psychology, 103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29" w:history="1">
          <w:r>
            <w:rPr>
              <w:rStyle w:val="Hyperlink"/>
            </w:rPr>
            <w:t>, 469–479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0" w:history="1">
          <w:r>
            <w:rPr>
              <w:rStyle w:val="Hyperlink"/>
            </w:rPr>
            <w:t>Dolenc, R., Gasteiger, H., Kraft, G., &amp; Loibl, G. (2005).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0" w:history="1">
          <w:r>
            <w:rPr>
              <w:rStyle w:val="Hyperlink"/>
            </w:rPr>
            <w:t xml:space="preserve"> ZahlenZauberei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0" w:history="1">
          <w:r>
            <w:rPr>
              <w:rStyle w:val="Hyperlink"/>
            </w:rPr>
            <w:t>. Munich: R. Oldenbourg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1" w:history="1">
          <w:r>
            <w:rPr>
              <w:rStyle w:val="Hyperlink"/>
            </w:rPr>
            <w:t>Dowker, A. D. (2005).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1" w:history="1">
          <w:r>
            <w:rPr>
              <w:rStyle w:val="Hyperlink"/>
            </w:rPr>
            <w:t xml:space="preserve"> Individual differences in arithmetic: Implications for psychology, neuroscience and education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1" w:history="1">
          <w:r>
            <w:rPr>
              <w:rStyle w:val="Hyperlink"/>
            </w:rPr>
            <w:t xml:space="preserve">. Hove, UK: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1" w:history="1">
          <w:r>
            <w:rPr>
              <w:rStyle w:val="Hyperlink"/>
            </w:rPr>
            <w:t>Psychology Press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2" w:history="1">
          <w:r>
            <w:rPr>
              <w:rStyle w:val="Hyperlink"/>
            </w:rPr>
            <w:t xml:space="preserve">Duncan, G. J., Dowsett, C. J., Claessens, A., Magnuson, K., Huston, A. C., Klebanov, P., ... Japel, C. (2007). School readiness and later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2" w:history="1">
          <w:r>
            <w:rPr>
              <w:rStyle w:val="Hyperlink"/>
            </w:rPr>
            <w:t>achievement.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2" w:history="1">
          <w:r>
            <w:rPr>
              <w:rStyle w:val="Hyperlink"/>
            </w:rPr>
            <w:t xml:space="preserve"> Developmental Psychology, 43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2" w:history="1">
          <w:r>
            <w:rPr>
              <w:rStyle w:val="Hyperlink"/>
            </w:rPr>
            <w:t>, 1428–1446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3" w:history="1">
          <w:r>
            <w:rPr>
              <w:rStyle w:val="Hyperlink"/>
            </w:rPr>
            <w:t xml:space="preserve">Elofsson, J., Gustafson, S., Samuelsson, J., &amp; Träff, U. (2016). Playing number board games supports 5-year-old children’s early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3" w:history="1">
          <w:r>
            <w:rPr>
              <w:rStyle w:val="Hyperlink"/>
            </w:rPr>
            <w:t>mathematical development.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3" w:history="1">
          <w:r>
            <w:rPr>
              <w:rStyle w:val="Hyperlink"/>
            </w:rPr>
            <w:t xml:space="preserve"> Journal of Mathematical Behavior, 43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3" w:history="1">
          <w:r>
            <w:rPr>
              <w:rStyle w:val="Hyperlink"/>
            </w:rPr>
            <w:t>, 134–147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4" w:history="1">
          <w:r>
            <w:rPr>
              <w:rStyle w:val="Hyperlink"/>
            </w:rPr>
            <w:t>Gasteiger, H. (2010).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4" w:history="1">
          <w:r>
            <w:rPr>
              <w:rStyle w:val="Hyperlink"/>
            </w:rPr>
            <w:t xml:space="preserve"> Elementare mathematische Bildung im Alltag der Kindertagesstätte: Grundlegung und Evaluation eines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4" w:history="1">
          <w:r>
            <w:rPr>
              <w:rStyle w:val="Hyperlink"/>
            </w:rPr>
            <w:t>kompetenzorientierten Förderansatzes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4" w:history="1">
          <w:r>
            <w:rPr>
              <w:rStyle w:val="Hyperlink"/>
            </w:rPr>
            <w:t>. Münster, Garmany: Waxmann Verlag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5" w:history="1">
          <w:r>
            <w:rPr>
              <w:rStyle w:val="Hyperlink"/>
            </w:rPr>
            <w:t xml:space="preserve">Gasteiger, H. (2012). Fostering early mathematical competencies in natural learning situations—Foundation and challenges of a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5" w:history="1">
          <w:r>
            <w:rPr>
              <w:rStyle w:val="Hyperlink"/>
            </w:rPr>
            <w:t>competence-oriented concept of mathematics education in kindergarten.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5" w:history="1">
          <w:r>
            <w:rPr>
              <w:rStyle w:val="Hyperlink"/>
            </w:rPr>
            <w:t xml:space="preserve"> Journal für Mathematik-Didaktik, 33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5" w:history="1">
          <w:r>
            <w:rPr>
              <w:rStyle w:val="Hyperlink"/>
            </w:rPr>
            <w:t>, 181–201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6" w:history="1">
          <w:r>
            <w:rPr>
              <w:rStyle w:val="Hyperlink"/>
            </w:rPr>
            <w:t xml:space="preserve">Gasteiger, H. (2014). Professionalization of early childhood educators with a focus on natural learning situations and individual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6" w:history="1">
          <w:r>
            <w:rPr>
              <w:rStyle w:val="Hyperlink"/>
            </w:rPr>
            <w:t>development of mathematical competencies: Results from an evaluation study. In U. Kortenkamp, B. Brandt, C. Benz, G.</w:t>
          </w:r>
        </w:hyperlink>
      </w:r>
    </w:p>
    <w:p>
      <w:pPr>
        <w:autoSpaceDN w:val="0"/>
        <w:autoSpaceDE w:val="0"/>
        <w:widowControl/>
        <w:spacing w:line="160" w:lineRule="exact" w:before="0" w:after="0"/>
        <w:ind w:left="238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6" w:history="1">
          <w:r>
            <w:rPr>
              <w:rStyle w:val="Hyperlink"/>
            </w:rPr>
            <w:t>Krummheuer, S. Ladel, &amp; R. Vogel (Eds.),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6" w:history="1">
          <w:r>
            <w:rPr>
              <w:rStyle w:val="Hyperlink"/>
            </w:rPr>
            <w:t xml:space="preserve"> Early mathematics learning: Selected papers of the POEM 2012 Conference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6" w:history="1">
          <w:r>
            <w:rPr>
              <w:rStyle w:val="Hyperlink"/>
            </w:rPr>
            <w:t>(pp. 275–290). Berlin: Springer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238" w:right="22" w:hanging="238"/>
        <w:jc w:val="both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Geary, D. C., Bailey, D. H., Littlefield, A., Wood, P., Hoard, M. K., &amp; Nugent, L. (2009). First-Grade Predictors of Mathematical 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Learning Disability: A Latent Class Trajectory Analysis.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 Cognitive Development, 24</w:t>
      </w:r>
      <w:r>
        <w:rPr>
          <w:rFonts w:ascii="AdvGulliv" w:hAnsi="AdvGulliv" w:eastAsia="AdvGulliv"/>
          <w:b w:val="0"/>
          <w:i w:val="0"/>
          <w:color w:val="000000"/>
          <w:sz w:val="13"/>
        </w:rPr>
        <w:t>(4) 4.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7" w:history="1">
          <w:r>
            <w:rPr>
              <w:rStyle w:val="Hyperlink"/>
            </w:rPr>
            <w:t xml:space="preserve">https://doi.org/10.1016/j.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7" w:history="1">
          <w:r>
            <w:rPr>
              <w:rStyle w:val="Hyperlink"/>
            </w:rPr>
            <w:t>cogdev.2009.10.001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8" w:history="1">
          <w:r>
            <w:rPr>
              <w:rStyle w:val="Hyperlink"/>
            </w:rPr>
            <w:t>Geary, D. C. (2011). Cognitive predictors of achievement growth in mathematics: A 5-year longitudinal study.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8" w:history="1">
          <w:r>
            <w:rPr>
              <w:rStyle w:val="Hyperlink"/>
            </w:rPr>
            <w:t xml:space="preserve"> Developmental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8" w:history="1">
          <w:r>
            <w:rPr>
              <w:rStyle w:val="Hyperlink"/>
            </w:rPr>
            <w:t>Psychology, 47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8" w:history="1">
          <w:r>
            <w:rPr>
              <w:rStyle w:val="Hyperlink"/>
            </w:rPr>
            <w:t>, 15–39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9" w:history="1">
          <w:r>
            <w:rPr>
              <w:rStyle w:val="Hyperlink"/>
            </w:rPr>
            <w:t xml:space="preserve">Holloway, I. D., &amp; Ansari, D. (2009). Mapping numerical magnitudes onto symbols: The numerical distance effect and individual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9" w:history="1">
          <w:r>
            <w:rPr>
              <w:rStyle w:val="Hyperlink"/>
            </w:rPr>
            <w:t>differences in children’s mathematics achievement.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9" w:history="1">
          <w:r>
            <w:rPr>
              <w:rStyle w:val="Hyperlink"/>
            </w:rPr>
            <w:t xml:space="preserve"> Journal of Experimental Child Psychology, 103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39" w:history="1">
          <w:r>
            <w:rPr>
              <w:rStyle w:val="Hyperlink"/>
            </w:rPr>
            <w:t>, 17–29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0" w:history="1">
          <w:r>
            <w:rPr>
              <w:rStyle w:val="Hyperlink"/>
            </w:rPr>
            <w:t xml:space="preserve">Holman, L., Head, M. L., Lanfear, R., &amp; Jennions, M. D. (2015). Evidence of experimental bias in the life sciences: Why we need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0" w:history="1">
          <w:r>
            <w:rPr>
              <w:rStyle w:val="Hyperlink"/>
            </w:rPr>
            <w:t>blind data recording.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0" w:history="1">
          <w:r>
            <w:rPr>
              <w:rStyle w:val="Hyperlink"/>
            </w:rPr>
            <w:t xml:space="preserve"> PLoS Biology, 13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0" w:history="1">
          <w:r>
            <w:rPr>
              <w:rStyle w:val="Hyperlink"/>
            </w:rPr>
            <w:t>(7), e1002190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146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14</w:t>
      </w:r>
    </w:p>
    <w:p>
      <w:pPr>
        <w:sectPr>
          <w:pgSz w:w="9354" w:h="13606"/>
          <w:pgMar w:top="438" w:right="830" w:bottom="382" w:left="852" w:header="720" w:footer="720" w:gutter="0"/>
          <w:cols w:space="720" w:num="1" w:equalWidth="0">
            <w:col w:w="7671" w:space="0"/>
            <w:col w:w="7671" w:space="0"/>
            <w:col w:w="7671" w:space="0"/>
            <w:col w:w="7671" w:space="0"/>
            <w:col w:w="7670" w:space="0"/>
            <w:col w:w="7671" w:space="0"/>
            <w:col w:w="2846" w:space="0"/>
            <w:col w:w="4826" w:space="0"/>
            <w:col w:w="7671" w:space="0"/>
            <w:col w:w="7678" w:space="0"/>
            <w:col w:w="7671" w:space="0"/>
            <w:col w:w="7671" w:space="0"/>
            <w:col w:w="7678" w:space="0"/>
            <w:col w:w="7671" w:space="0"/>
            <w:col w:w="7671" w:space="0"/>
            <w:col w:w="2846" w:space="0"/>
            <w:col w:w="4826" w:space="0"/>
            <w:col w:w="7686" w:space="0"/>
            <w:col w:w="2897" w:space="0"/>
            <w:col w:w="4788" w:space="0"/>
            <w:col w:w="76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H. Gasteiger and K. Moeller </w:t>
      </w:r>
      <w:r>
        <w:tab/>
      </w:r>
      <w:r>
        <w:rPr>
          <w:rFonts w:ascii="AdvGulliv" w:hAnsi="AdvGulliv" w:eastAsia="AdvGulliv"/>
          <w:b w:val="0"/>
          <w:i w:val="0"/>
          <w:color w:val="000000"/>
          <w:sz w:val="13"/>
        </w:rPr>
        <w:t>Journal of Experimental Child Psychology 204 (2021) 105060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238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1" w:history="1">
          <w:r>
            <w:rPr>
              <w:rStyle w:val="Hyperlink"/>
            </w:rPr>
            <w:t>Jordan, N. C., Glutting, J., &amp; Ramineni, C. (2010). The importance of number sense to mathematics achievement in first and thir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d </w:t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1" w:history="1">
          <w:r>
            <w:rPr>
              <w:rStyle w:val="Hyperlink"/>
            </w:rPr>
            <w:t>grades.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1" w:history="1">
          <w:r>
            <w:rPr>
              <w:rStyle w:val="Hyperlink"/>
            </w:rPr>
            <w:t xml:space="preserve"> Learning and Individual Differences, 20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1" w:history="1">
          <w:r>
            <w:rPr>
              <w:rStyle w:val="Hyperlink"/>
            </w:rPr>
            <w:t>, 82–88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2" w:history="1">
          <w:r>
            <w:rPr>
              <w:rStyle w:val="Hyperlink"/>
            </w:rPr>
            <w:t>Kamii, C., Rummelsburg, J., &amp; Kari, A. (2005). Teaching arithmetic to low-performing, low-SES first graders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.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2" w:history="1">
          <w:r>
            <w:rPr>
              <w:rStyle w:val="Hyperlink"/>
            </w:rPr>
            <w:t xml:space="preserve"> Journal of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2" w:history="1">
          <w:r>
            <w:rPr>
              <w:rStyle w:val="Hyperlink"/>
            </w:rPr>
            <w:t>Mathematical Behavior, 24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2" w:history="1">
          <w:r>
            <w:rPr>
              <w:rStyle w:val="Hyperlink"/>
            </w:rPr>
            <w:t>, 39–50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3" w:history="1">
          <w:r>
            <w:rPr>
              <w:rStyle w:val="Hyperlink"/>
            </w:rPr>
            <w:t>Kaufmann, L., Nuerk, H.-C., Graf, M., Krinzinger, H., Delazer, M., &amp; Willmes, K. (2009).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3" w:history="1">
          <w:r>
            <w:rPr>
              <w:rStyle w:val="Hyperlink"/>
            </w:rPr>
            <w:t xml:space="preserve"> TEDI-MATH: Test zur Erfassung numerisch-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3" w:history="1">
          <w:r>
            <w:rPr>
              <w:rStyle w:val="Hyperlink"/>
            </w:rPr>
            <w:t>rechnerischer Fertigkeiten vom Kindergarten bis zur 3 Klasse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3" w:history="1">
          <w:r>
            <w:rPr>
              <w:rStyle w:val="Hyperlink"/>
            </w:rPr>
            <w:t>. Bern, Switzerland: Hans Huber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238" w:right="20" w:hanging="238"/>
        <w:jc w:val="both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4" w:history="1">
          <w:r>
            <w:rPr>
              <w:rStyle w:val="Hyperlink"/>
            </w:rPr>
            <w:t xml:space="preserve">Krajewski, K., &amp; Schneider, W. (2009). Early development of quantity to number–word linkage as a precursor of mathematical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4" w:history="1">
          <w:r>
            <w:rPr>
              <w:rStyle w:val="Hyperlink"/>
            </w:rPr>
            <w:t>school achievement and mathematical difficulties: Findings from a four-year longitudinal study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.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4" w:history="1">
          <w:r>
            <w:rPr>
              <w:rStyle w:val="Hyperlink"/>
            </w:rPr>
            <w:t xml:space="preserve"> Learning and Instruction, 19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4" w:history="1">
          <w:r>
            <w:rPr>
              <w:rStyle w:val="Hyperlink"/>
            </w:rPr>
            <w:t xml:space="preserve">,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4" w:history="1">
          <w:r>
            <w:rPr>
              <w:rStyle w:val="Hyperlink"/>
            </w:rPr>
            <w:t>513–526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5" w:history="1">
          <w:r>
            <w:rPr>
              <w:rStyle w:val="Hyperlink"/>
            </w:rPr>
            <w:t>Laski, E. V., &amp; Siegler, R. S. (2014). Learning from number board games: You learn what you encode.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5" w:history="1">
          <w:r>
            <w:rPr>
              <w:rStyle w:val="Hyperlink"/>
            </w:rPr>
            <w:t xml:space="preserve"> Developmental Psychology,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5" w:history="1">
          <w:r>
            <w:rPr>
              <w:rStyle w:val="Hyperlink"/>
            </w:rPr>
            <w:t>50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5" w:history="1">
          <w:r>
            <w:rPr>
              <w:rStyle w:val="Hyperlink"/>
            </w:rPr>
            <w:t>, 853–864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6" w:history="1">
          <w:r>
            <w:rPr>
              <w:rStyle w:val="Hyperlink"/>
            </w:rPr>
            <w:t xml:space="preserve">LeFevre, J.-A., Skwarchuk, S.-L., Smith-Chant, B. L., Fat, L., Kamawar, D., &amp; Bisanz, J. (2009). Home numeracy experiences and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6" w:history="1">
          <w:r>
            <w:rPr>
              <w:rStyle w:val="Hyperlink"/>
            </w:rPr>
            <w:t>children’s math performance in the early school years.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6" w:history="1">
          <w:r>
            <w:rPr>
              <w:rStyle w:val="Hyperlink"/>
            </w:rPr>
            <w:t xml:space="preserve"> Canadian Journal of Behavioural Science, 41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6" w:history="1">
          <w:r>
            <w:rPr>
              <w:rStyle w:val="Hyperlink"/>
            </w:rPr>
            <w:t>, 55–66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4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7" w:history="1">
          <w:r>
            <w:rPr>
              <w:rStyle w:val="Hyperlink"/>
            </w:rPr>
            <w:t>Lüken, M. M. (2012). Young children’s structure sense.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7" w:history="1">
          <w:r>
            <w:rPr>
              <w:rStyle w:val="Hyperlink"/>
            </w:rPr>
            <w:t xml:space="preserve"> Journal für Mathematik-Didaktik, 33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7" w:history="1">
          <w:r>
            <w:rPr>
              <w:rStyle w:val="Hyperlink"/>
            </w:rPr>
            <w:t>, 263–285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8" w:history="1">
          <w:r>
            <w:rPr>
              <w:rStyle w:val="Hyperlink"/>
            </w:rPr>
            <w:t>Mulligan, J., &amp; Mitchelmore, M. (2009). Awareness of pattern and structure in early mathematical development.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8" w:history="1">
          <w:r>
            <w:rPr>
              <w:rStyle w:val="Hyperlink"/>
            </w:rPr>
            <w:t xml:space="preserve"> Mathematics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8" w:history="1">
          <w:r>
            <w:rPr>
              <w:rStyle w:val="Hyperlink"/>
            </w:rPr>
            <w:t>Education Research Journal, 21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8" w:history="1">
          <w:r>
            <w:rPr>
              <w:rStyle w:val="Hyperlink"/>
            </w:rPr>
            <w:t>(2), 33–49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0" w:right="20" w:firstLine="0"/>
        <w:jc w:val="righ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9" w:history="1">
          <w:r>
            <w:rPr>
              <w:rStyle w:val="Hyperlink"/>
            </w:rPr>
            <w:t xml:space="preserve">Nguyen, T., Watts, T. W., Duncan, G. J., Clements, D. H., Sarama, J. S., Wolfe, C., &amp; Spitler, M. E. (2016). Which preschool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9" w:history="1">
          <w:r>
            <w:rPr>
              <w:rStyle w:val="Hyperlink"/>
            </w:rPr>
            <w:t>mathematics competencies are most predictive of fifth grade achievement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?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9" w:history="1">
          <w:r>
            <w:rPr>
              <w:rStyle w:val="Hyperlink"/>
            </w:rPr>
            <w:t xml:space="preserve"> Early Childhood Research Quarterly, 36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49" w:history="1">
          <w:r>
            <w:rPr>
              <w:rStyle w:val="Hyperlink"/>
            </w:rPr>
            <w:t>, 550–560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0" w:history="1">
          <w:r>
            <w:rPr>
              <w:rStyle w:val="Hyperlink"/>
            </w:rPr>
            <w:t>Obersteiner, A., Reiss, K., Ufer, S., Luwel, K., &amp; Verschaffel, L. (2014). Do first graders make efficient use of external numb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er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0" w:history="1">
          <w:r>
            <w:rPr>
              <w:rStyle w:val="Hyperlink"/>
            </w:rPr>
            <w:t>representations? The case of the twenty-frame.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0" w:history="1">
          <w:r>
            <w:rPr>
              <w:rStyle w:val="Hyperlink"/>
            </w:rPr>
            <w:t xml:space="preserve"> Cognition and Instruction, 32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0" w:history="1">
          <w:r>
            <w:rPr>
              <w:rStyle w:val="Hyperlink"/>
            </w:rPr>
            <w:t>, 353–373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1" w:history="1">
          <w:r>
            <w:rPr>
              <w:rStyle w:val="Hyperlink"/>
            </w:rPr>
            <w:t xml:space="preserve">Passolunghi, M. C., &amp; Lanfranchi, S. (2012). Domain-specific and domain-general precursors of mathematical achievement: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 xml:space="preserve">A </w:t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1" w:history="1">
          <w:r>
            <w:rPr>
              <w:rStyle w:val="Hyperlink"/>
            </w:rPr>
            <w:t>longitudinal study from kindergarten to first grade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.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1" w:history="1">
          <w:r>
            <w:rPr>
              <w:rStyle w:val="Hyperlink"/>
            </w:rPr>
            <w:t xml:space="preserve"> British Journal of Educational Psychology, 82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1" w:history="1">
          <w:r>
            <w:rPr>
              <w:rStyle w:val="Hyperlink"/>
            </w:rPr>
            <w:t>, 42–63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2" w:history="1">
          <w:r>
            <w:rPr>
              <w:rStyle w:val="Hyperlink"/>
            </w:rPr>
            <w:t>Petermann, F., &amp; Lipsius, M. (2011).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2" w:history="1">
          <w:r>
            <w:rPr>
              <w:rStyle w:val="Hyperlink"/>
            </w:rPr>
            <w:t xml:space="preserve"> Wechsler Preschool and Primary Scale of Intelligence III, German version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2" w:history="1">
          <w:r>
            <w:rPr>
              <w:rStyle w:val="Hyperlink"/>
            </w:rPr>
            <w:t xml:space="preserve">. Frankfurt, Germany: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2" w:history="1">
          <w:r>
            <w:rPr>
              <w:rStyle w:val="Hyperlink"/>
            </w:rPr>
            <w:t>Pearson Assessment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3" w:history="1">
          <w:r>
            <w:rPr>
              <w:rStyle w:val="Hyperlink"/>
            </w:rPr>
            <w:t>Peters, S. (1998). Playing games and learning mathematics: The results of two intervention studies.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3" w:history="1">
          <w:r>
            <w:rPr>
              <w:rStyle w:val="Hyperlink"/>
            </w:rPr>
            <w:t xml:space="preserve"> International Journal of Early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3" w:history="1">
          <w:r>
            <w:rPr>
              <w:rStyle w:val="Hyperlink"/>
            </w:rPr>
            <w:t>Years Education, 6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3" w:history="1">
          <w:r>
            <w:rPr>
              <w:rStyle w:val="Hyperlink"/>
            </w:rPr>
            <w:t>(1), 49–58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4" w:history="1">
          <w:r>
            <w:rPr>
              <w:rStyle w:val="Hyperlink"/>
            </w:rPr>
            <w:t xml:space="preserve">Piazza, M., Facoetti, A., Trussardi, A. N., Berteletti, I., Conte, S., Lucangeli, D., ... Zorzi, M. (2010). Developmental trajectory of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4" w:history="1">
          <w:r>
            <w:rPr>
              <w:rStyle w:val="Hyperlink"/>
            </w:rPr>
            <w:t>number acuity reveals a severe impairment in developmental dyscalculia.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4" w:history="1">
          <w:r>
            <w:rPr>
              <w:rStyle w:val="Hyperlink"/>
            </w:rPr>
            <w:t xml:space="preserve"> Cognition, 116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4" w:history="1">
          <w:r>
            <w:rPr>
              <w:rStyle w:val="Hyperlink"/>
            </w:rPr>
            <w:t>, 33–41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5" w:history="1">
          <w:r>
            <w:rPr>
              <w:rStyle w:val="Hyperlink"/>
            </w:rPr>
            <w:t xml:space="preserve">Purpura, D. J., Baroody, A. J., &amp; Lonigan, C. J. (2013). The transition from informal to formal mathematical knowledge: Mediation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5" w:history="1">
          <w:r>
            <w:rPr>
              <w:rStyle w:val="Hyperlink"/>
            </w:rPr>
            <w:t>by numeral knowledge.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5" w:history="1">
          <w:r>
            <w:rPr>
              <w:rStyle w:val="Hyperlink"/>
            </w:rPr>
            <w:t xml:space="preserve"> Journal of Educational Psychology, 105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5" w:history="1">
          <w:r>
            <w:rPr>
              <w:rStyle w:val="Hyperlink"/>
            </w:rPr>
            <w:t>, 453–464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6" w:history="1">
          <w:r>
            <w:rPr>
              <w:rStyle w:val="Hyperlink"/>
            </w:rPr>
            <w:t xml:space="preserve">Ramani, G. B., &amp; Siegler, R. S. (2008). Promoting broad and stable improvements in low-income children’s numerical knowledge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6" w:history="1">
          <w:r>
            <w:rPr>
              <w:rStyle w:val="Hyperlink"/>
            </w:rPr>
            <w:t>through playing number board games.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6" w:history="1">
          <w:r>
            <w:rPr>
              <w:rStyle w:val="Hyperlink"/>
            </w:rPr>
            <w:t xml:space="preserve"> Child Development, 79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6" w:history="1">
          <w:r>
            <w:rPr>
              <w:rStyle w:val="Hyperlink"/>
            </w:rPr>
            <w:t>, 375–394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7" w:history="1">
          <w:r>
            <w:rPr>
              <w:rStyle w:val="Hyperlink"/>
            </w:rPr>
            <w:t xml:space="preserve">Ramani, G. B., Siegler, R. S., &amp; Hitti, A. (2012). Taking it to the classroom: Number board games as a small group learning activity.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7" w:history="1">
          <w:r>
            <w:rPr>
              <w:rStyle w:val="Hyperlink"/>
            </w:rPr>
            <w:t>Journal of Educational Psychology, 104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7" w:history="1">
          <w:r>
            <w:rPr>
              <w:rStyle w:val="Hyperlink"/>
            </w:rPr>
            <w:t>, 661–672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8" w:history="1">
          <w:r>
            <w:rPr>
              <w:rStyle w:val="Hyperlink"/>
            </w:rPr>
            <w:t xml:space="preserve">Richardson, J. T. E. (2011). Eta squared and partial eta squared as measurements of effect size in educational research.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8" w:history="1">
          <w:r>
            <w:rPr>
              <w:rStyle w:val="Hyperlink"/>
            </w:rPr>
            <w:t>Educational Research Review, 6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8" w:history="1">
          <w:r>
            <w:rPr>
              <w:rStyle w:val="Hyperlink"/>
            </w:rPr>
            <w:t>, 135–147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9" w:history="1">
          <w:r>
            <w:rPr>
              <w:rStyle w:val="Hyperlink"/>
            </w:rPr>
            <w:t xml:space="preserve">Ritchie, S. J., &amp; Bates, T. C. (2013). Enduring links from childhood mathematics and reading achievement to adult socioeconomic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9" w:history="1">
          <w:r>
            <w:rPr>
              <w:rStyle w:val="Hyperlink"/>
            </w:rPr>
            <w:t>status.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9" w:history="1">
          <w:r>
            <w:rPr>
              <w:rStyle w:val="Hyperlink"/>
            </w:rPr>
            <w:t xml:space="preserve"> Psychological Science, 24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59" w:history="1">
          <w:r>
            <w:rPr>
              <w:rStyle w:val="Hyperlink"/>
            </w:rPr>
            <w:t>, 1301–1308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0" w:history="1">
          <w:r>
            <w:rPr>
              <w:rStyle w:val="Hyperlink"/>
            </w:rPr>
            <w:t xml:space="preserve">Rittle-Johnson, B., Zippert, E. L., &amp; Boice, K. L. (2019). The roles of patterning and spatial skills in early mathematics development.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0" w:history="1">
          <w:r>
            <w:rPr>
              <w:rStyle w:val="Hyperlink"/>
            </w:rPr>
            <w:t>Early Childhood Research Quarterly, 46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0" w:history="1">
          <w:r>
            <w:rPr>
              <w:rStyle w:val="Hyperlink"/>
            </w:rPr>
            <w:t>, 166–178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238" w:right="20" w:hanging="238"/>
        <w:jc w:val="both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1" w:history="1">
          <w:r>
            <w:rPr>
              <w:rStyle w:val="Hyperlink"/>
            </w:rPr>
            <w:t xml:space="preserve">Sasanguie, D., Göbel, S. M., Moll, K., Smets, K., &amp; Reynvoet, B. (2013). Approximate number sense, symbolic number processing,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1" w:history="1">
          <w:r>
            <w:rPr>
              <w:rStyle w:val="Hyperlink"/>
            </w:rPr>
            <w:t>or number–space mappings: What underlies mathematics achievement?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1" w:history="1">
          <w:r>
            <w:rPr>
              <w:rStyle w:val="Hyperlink"/>
            </w:rPr>
            <w:t xml:space="preserve"> Journal of Experimental Child Psychology, 114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1" w:history="1">
          <w:r>
            <w:rPr>
              <w:rStyle w:val="Hyperlink"/>
            </w:rPr>
            <w:t xml:space="preserve">,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1" w:history="1">
          <w:r>
            <w:rPr>
              <w:rStyle w:val="Hyperlink"/>
            </w:rPr>
            <w:t>418–431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8" w:lineRule="exact" w:before="0" w:after="0"/>
        <w:ind w:left="238" w:right="20" w:hanging="238"/>
        <w:jc w:val="both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2" w:history="1">
          <w:r>
            <w:rPr>
              <w:rStyle w:val="Hyperlink"/>
            </w:rPr>
            <w:t xml:space="preserve">Seo, K.-H., &amp; Ginsburg, H. P. (2004). What is developmentally appropriate in early childhood mathematics education? Lessons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2" w:history="1">
          <w:r>
            <w:rPr>
              <w:rStyle w:val="Hyperlink"/>
            </w:rPr>
            <w:t>from new research. In D. H. Clements &amp; J. Sarama (Eds.),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2" w:history="1">
          <w:r>
            <w:rPr>
              <w:rStyle w:val="Hyperlink"/>
            </w:rPr>
            <w:t xml:space="preserve"> Engaging young children in mathematics: Standards for early childhood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2" w:history="1">
          <w:r>
            <w:rPr>
              <w:rStyle w:val="Hyperlink"/>
            </w:rPr>
            <w:t>mathematics education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2" w:history="1">
          <w:r>
            <w:rPr>
              <w:rStyle w:val="Hyperlink"/>
            </w:rPr>
            <w:t xml:space="preserve"> (pp. 91–104). Mahwah, NJ: Lawrence Erlbaum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3" w:history="1">
          <w:r>
            <w:rPr>
              <w:rStyle w:val="Hyperlink"/>
            </w:rPr>
            <w:t xml:space="preserve">Siegler, R. S., &amp; Ramani, G. B. (2008). Playing linear numerical board games promotes low-income children’s numerical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3" w:history="1">
          <w:r>
            <w:rPr>
              <w:rStyle w:val="Hyperlink"/>
            </w:rPr>
            <w:t>development.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3" w:history="1">
          <w:r>
            <w:rPr>
              <w:rStyle w:val="Hyperlink"/>
            </w:rPr>
            <w:t xml:space="preserve"> Developmental Science, 11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3" w:history="1">
          <w:r>
            <w:rPr>
              <w:rStyle w:val="Hyperlink"/>
            </w:rPr>
            <w:t>, 655–661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4" w:history="1">
          <w:r>
            <w:rPr>
              <w:rStyle w:val="Hyperlink"/>
            </w:rPr>
            <w:t xml:space="preserve">Siegler, R. S., &amp; Ramani, G. B. (2009). Playing linear number board games—but not circular ones—improves low-income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4" w:history="1">
          <w:r>
            <w:rPr>
              <w:rStyle w:val="Hyperlink"/>
            </w:rPr>
            <w:t>preschoolers’ numerical understanding.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4" w:history="1">
          <w:r>
            <w:rPr>
              <w:rStyle w:val="Hyperlink"/>
            </w:rPr>
            <w:t xml:space="preserve"> Journal of Educational Psychology, 101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4" w:history="1">
          <w:r>
            <w:rPr>
              <w:rStyle w:val="Hyperlink"/>
            </w:rPr>
            <w:t>, 545–560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0" w:right="20" w:firstLine="0"/>
        <w:jc w:val="righ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5" w:history="1">
          <w:r>
            <w:rPr>
              <w:rStyle w:val="Hyperlink"/>
            </w:rPr>
            <w:t xml:space="preserve">Sonnenschein, S., Metzger, S. R., Dowling, R., Gay, B., &amp; Simons, C. L. (2016). Extending an effective classroom-based math board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5" w:history="1">
          <w:r>
            <w:rPr>
              <w:rStyle w:val="Hyperlink"/>
            </w:rPr>
            <w:t>game intervention to preschoolers’ homes.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5" w:history="1">
          <w:r>
            <w:rPr>
              <w:rStyle w:val="Hyperlink"/>
            </w:rPr>
            <w:t xml:space="preserve"> Journal of Applied Research on Children: Informing Policy for Children at Risk, 7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5" w:history="1">
          <w:r>
            <w:rPr>
              <w:rStyle w:val="Hyperlink"/>
            </w:rPr>
            <w:t>(2), 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6" w:history="1">
          <w:r>
            <w:rPr>
              <w:rStyle w:val="Hyperlink"/>
            </w:rPr>
            <w:t xml:space="preserve">Stebler, R., Vogt, F., Wolf, I., Hauser, B., &amp; Rechsteiner, K. (2013). Play-based mathematics in kindergarten: A video analysis of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6" w:history="1">
          <w:r>
            <w:rPr>
              <w:rStyle w:val="Hyperlink"/>
            </w:rPr>
            <w:t>children’s mathematical behaviour while playing a board game in small groups.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6" w:history="1">
          <w:r>
            <w:rPr>
              <w:rStyle w:val="Hyperlink"/>
            </w:rPr>
            <w:t xml:space="preserve"> Journal für Mathematik-Didaktik, 34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6" w:history="1">
          <w:r>
            <w:rPr>
              <w:rStyle w:val="Hyperlink"/>
            </w:rPr>
            <w:t xml:space="preserve">,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6" w:history="1">
          <w:r>
            <w:rPr>
              <w:rStyle w:val="Hyperlink"/>
            </w:rPr>
            <w:t>149–175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7" w:history="1">
          <w:r>
            <w:rPr>
              <w:rStyle w:val="Hyperlink"/>
            </w:rPr>
            <w:t xml:space="preserve">Streit-Lehmann, J. (2017). Involving parents in games and picture books. In S. Phillipson, A. Gervasoni, &amp; P. Sullivan (Eds.),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7" w:history="1">
          <w:r>
            <w:rPr>
              <w:rStyle w:val="Hyperlink"/>
            </w:rPr>
            <w:t>Engaging families as children’s first mathematics educators: International perspective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s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7" w:history="1">
          <w:r>
            <w:rPr>
              <w:rStyle w:val="Hyperlink"/>
            </w:rPr>
            <w:t xml:space="preserve"> (pp. 147–163). Singapore: Springer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8" w:history="1">
          <w:r>
            <w:rPr>
              <w:rStyle w:val="Hyperlink"/>
            </w:rPr>
            <w:t>van Oers, B. (2010). Emergent mathematical thinking in the context of play.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8" w:history="1">
          <w:r>
            <w:rPr>
              <w:rStyle w:val="Hyperlink"/>
            </w:rPr>
            <w:t xml:space="preserve"> Educational Studies in Mathematics, 74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8" w:history="1">
          <w:r>
            <w:rPr>
              <w:rStyle w:val="Hyperlink"/>
            </w:rPr>
            <w:t>, 23–37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 xml:space="preserve">. 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9" w:history="1">
          <w:r>
            <w:rPr>
              <w:rStyle w:val="Hyperlink"/>
            </w:rPr>
            <w:t>Verguts, T., &amp; Fias, W. (2004). Representation of number in animals and humans: A neural model.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9" w:history="1">
          <w:r>
            <w:rPr>
              <w:rStyle w:val="Hyperlink"/>
            </w:rPr>
            <w:t xml:space="preserve"> Journal of Cognitive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9" w:history="1">
          <w:r>
            <w:rPr>
              <w:rStyle w:val="Hyperlink"/>
            </w:rPr>
            <w:t>Neuroscience, 16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69" w:history="1">
          <w:r>
            <w:rPr>
              <w:rStyle w:val="Hyperlink"/>
            </w:rPr>
            <w:t>, 1493–1504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0" w:history="1">
          <w:r>
            <w:rPr>
              <w:rStyle w:val="Hyperlink"/>
            </w:rPr>
            <w:t>Whyte, J. C., &amp; Bull, R. (2008). Number games, magnitude representation, and basic number skills in preschoolers.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0" w:history="1">
          <w:r>
            <w:rPr>
              <w:rStyle w:val="Hyperlink"/>
            </w:rPr>
            <w:t xml:space="preserve"> Developmental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0" w:history="1">
          <w:r>
            <w:rPr>
              <w:rStyle w:val="Hyperlink"/>
            </w:rPr>
            <w:t>Psychology, 44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0" w:history="1">
          <w:r>
            <w:rPr>
              <w:rStyle w:val="Hyperlink"/>
            </w:rPr>
            <w:t>, 588–596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60" w:lineRule="exact" w:before="0" w:after="0"/>
        <w:ind w:left="238" w:right="20" w:hanging="238"/>
        <w:jc w:val="both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1" w:history="1">
          <w:r>
            <w:rPr>
              <w:rStyle w:val="Hyperlink"/>
            </w:rPr>
            <w:t xml:space="preserve">Wijns, N., Torbeyns, J., De Smedt, B., &amp; Verschaffel, L. (2019). Young children’s patterning competencies and mathematical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1" w:history="1">
          <w:r>
            <w:rPr>
              <w:rStyle w:val="Hyperlink"/>
            </w:rPr>
            <w:t>development: A review. In K. M. Robinson, H. P. Osana, &amp; D. Kotopoulos (Eds.),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1" w:history="1">
          <w:r>
            <w:rPr>
              <w:rStyle w:val="Hyperlink"/>
            </w:rPr>
            <w:t xml:space="preserve"> Mathematical learning and cognition in early 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1" w:history="1">
          <w:r>
            <w:rPr>
              <w:rStyle w:val="Hyperlink"/>
            </w:rPr>
            <w:t>childhood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1" w:history="1">
          <w:r>
            <w:rPr>
              <w:rStyle w:val="Hyperlink"/>
            </w:rPr>
            <w:t xml:space="preserve"> (pp. 139–161). Cham, Switzerland: Springer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2" w:history="1">
          <w:r>
            <w:rPr>
              <w:rStyle w:val="Hyperlink"/>
            </w:rPr>
            <w:t>Wood, D., &amp; Middleton, D. (1975). A study of assisted problem-solving.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2" w:history="1">
          <w:r>
            <w:rPr>
              <w:rStyle w:val="Hyperlink"/>
            </w:rPr>
            <w:t xml:space="preserve"> British Journal of Psychology, 66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2" w:history="1">
          <w:r>
            <w:rPr>
              <w:rStyle w:val="Hyperlink"/>
            </w:rPr>
            <w:t>, 181–191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3" w:history="1">
          <w:r>
            <w:rPr>
              <w:rStyle w:val="Hyperlink"/>
            </w:rPr>
            <w:t>Young-Loveridge, J. M. (2004). Effects on early numeracy of a program using number books and games.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3" w:history="1">
          <w:r>
            <w:rPr>
              <w:rStyle w:val="Hyperlink"/>
            </w:rPr>
            <w:t xml:space="preserve"> Early Childhood Research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3" w:history="1">
          <w:r>
            <w:rPr>
              <w:rStyle w:val="Hyperlink"/>
            </w:rPr>
            <w:t>Quarterly, 19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3" w:history="1">
          <w:r>
            <w:rPr>
              <w:rStyle w:val="Hyperlink"/>
            </w:rPr>
            <w:t>, 82–98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2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4" w:history="1">
          <w:r>
            <w:rPr>
              <w:rStyle w:val="Hyperlink"/>
            </w:rPr>
            <w:t xml:space="preserve">Zippert, E. L., Clayback, K., &amp; Rittle-Johnson, B. (2019). Not just IQ: Patterning predicts preschoolers’ math knowledge beyond </w:t>
          </w:r>
        </w:hyperlink>
      </w:r>
      <w:r>
        <w:tab/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4" w:history="1">
          <w:r>
            <w:rPr>
              <w:rStyle w:val="Hyperlink"/>
            </w:rPr>
            <w:t>fluid reasoning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t>.</w:t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4" w:history="1">
          <w:r>
            <w:rPr>
              <w:rStyle w:val="Hyperlink"/>
            </w:rPr>
            <w:t xml:space="preserve"> Journal of Cognition and Development, 20</w:t>
          </w:r>
        </w:hyperlink>
      </w:r>
      <w:r>
        <w:rPr>
          <w:rFonts w:ascii="AdvGulliv" w:hAnsi="AdvGulliv" w:eastAsia="AdvGulliv"/>
          <w:b w:val="0"/>
          <w:i w:val="0"/>
          <w:color w:val="007FAD"/>
          <w:sz w:val="13"/>
        </w:rPr>
        <w:hyperlink r:id="rId74" w:history="1">
          <w:r>
            <w:rPr>
              <w:rStyle w:val="Hyperlink"/>
            </w:rPr>
            <w:t>, 752–771</w:t>
          </w:r>
        </w:hyperlink>
      </w:r>
      <w:r>
        <w:rPr>
          <w:rFonts w:ascii="AdvGulliv" w:hAnsi="AdvGulliv" w:eastAsia="AdvGulliv"/>
          <w:b w:val="0"/>
          <w:i w:val="0"/>
          <w:color w:val="000000"/>
          <w:sz w:val="13"/>
        </w:rPr>
        <w:t>.</w:t>
      </w:r>
    </w:p>
    <w:p>
      <w:pPr>
        <w:autoSpaceDN w:val="0"/>
        <w:autoSpaceDE w:val="0"/>
        <w:widowControl/>
        <w:spacing w:line="156" w:lineRule="exact" w:before="260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  <w:color w:val="000000"/>
          <w:sz w:val="13"/>
        </w:rPr>
        <w:t>15</w:t>
      </w:r>
    </w:p>
    <w:sectPr w:rsidR="00FC693F" w:rsidRPr="0006063C" w:rsidSect="00034616">
      <w:pgSz w:w="9354" w:h="13606"/>
      <w:pgMar w:top="438" w:right="832" w:bottom="382" w:left="852" w:header="720" w:footer="720" w:gutter="0"/>
      <w:cols w:space="720" w:num="1" w:equalWidth="0">
        <w:col w:w="7670" w:space="0"/>
        <w:col w:w="7671" w:space="0"/>
        <w:col w:w="7671" w:space="0"/>
        <w:col w:w="7671" w:space="0"/>
        <w:col w:w="7671" w:space="0"/>
        <w:col w:w="7670" w:space="0"/>
        <w:col w:w="7671" w:space="0"/>
        <w:col w:w="2846" w:space="0"/>
        <w:col w:w="4826" w:space="0"/>
        <w:col w:w="7671" w:space="0"/>
        <w:col w:w="7678" w:space="0"/>
        <w:col w:w="7671" w:space="0"/>
        <w:col w:w="7671" w:space="0"/>
        <w:col w:w="7678" w:space="0"/>
        <w:col w:w="7671" w:space="0"/>
        <w:col w:w="7671" w:space="0"/>
        <w:col w:w="2846" w:space="0"/>
        <w:col w:w="4826" w:space="0"/>
        <w:col w:w="7686" w:space="0"/>
        <w:col w:w="2897" w:space="0"/>
        <w:col w:w="4788" w:space="0"/>
        <w:col w:w="76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jecp.2020.105060" TargetMode="External"/><Relationship Id="rId10" Type="http://schemas.openxmlformats.org/officeDocument/2006/relationships/hyperlink" Target="http://www.sciencedirect.com/science/journal/00220965" TargetMode="External"/><Relationship Id="rId11" Type="http://schemas.openxmlformats.org/officeDocument/2006/relationships/hyperlink" Target="http://www.elsevier.com/locate/jecp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mailto:hedwig.gasteiger@uni-osnabrueck.de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s://www.schmidtspiele.de/details/produkt/mensch-aergere-dich-nicht-r--classic.html" TargetMode="External"/><Relationship Id="rId19" Type="http://schemas.openxmlformats.org/officeDocument/2006/relationships/hyperlink" Target="https://www.ravensburger.de/produkte/spiele/familienspiele/fang-den-hut-26736/index.html" TargetMode="External"/><Relationship Id="rId20" Type="http://schemas.openxmlformats.org/officeDocument/2006/relationships/hyperlink" Target="https://www.ravensburger.de/produkte/spiele/kinderspiele/der-maulwurf-und-sein-lieblingsspiel-21570/index.html" TargetMode="External"/><Relationship Id="rId21" Type="http://schemas.openxmlformats.org/officeDocument/2006/relationships/hyperlink" Target="http://www.zoch-verlag.com/spiele/kinderspiele/da-ist-der-wurm-drin.html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://refhub.elsevier.com/S0022-0965(20)30514-2/h0005" TargetMode="External"/><Relationship Id="rId24" Type="http://schemas.openxmlformats.org/officeDocument/2006/relationships/hyperlink" Target="http://refhub.elsevier.com/S0022-0965(20)30514-2/h0010" TargetMode="External"/><Relationship Id="rId25" Type="http://schemas.openxmlformats.org/officeDocument/2006/relationships/hyperlink" Target="http://refhub.elsevier.com/S0022-0965(20)30514-2/h0015" TargetMode="External"/><Relationship Id="rId26" Type="http://schemas.openxmlformats.org/officeDocument/2006/relationships/hyperlink" Target="http://refhub.elsevier.com/S0022-0965(20)30514-2/h0020" TargetMode="External"/><Relationship Id="rId27" Type="http://schemas.openxmlformats.org/officeDocument/2006/relationships/hyperlink" Target="http://refhub.elsevier.com/S0022-0965(20)30514-2/h0025" TargetMode="External"/><Relationship Id="rId28" Type="http://schemas.openxmlformats.org/officeDocument/2006/relationships/hyperlink" Target="http://refhub.elsevier.com/S0022-0965(20)30514-2/h0030" TargetMode="External"/><Relationship Id="rId29" Type="http://schemas.openxmlformats.org/officeDocument/2006/relationships/hyperlink" Target="http://refhub.elsevier.com/S0022-0965(20)30514-2/h0035" TargetMode="External"/><Relationship Id="rId30" Type="http://schemas.openxmlformats.org/officeDocument/2006/relationships/hyperlink" Target="http://refhub.elsevier.com/S0022-0965(20)30514-2/h0040" TargetMode="External"/><Relationship Id="rId31" Type="http://schemas.openxmlformats.org/officeDocument/2006/relationships/hyperlink" Target="http://refhub.elsevier.com/S0022-0965(20)30514-2/h0045" TargetMode="External"/><Relationship Id="rId32" Type="http://schemas.openxmlformats.org/officeDocument/2006/relationships/hyperlink" Target="http://refhub.elsevier.com/S0022-0965(20)30514-2/h0050" TargetMode="External"/><Relationship Id="rId33" Type="http://schemas.openxmlformats.org/officeDocument/2006/relationships/hyperlink" Target="http://refhub.elsevier.com/S0022-0965(20)30514-2/h0055" TargetMode="External"/><Relationship Id="rId34" Type="http://schemas.openxmlformats.org/officeDocument/2006/relationships/hyperlink" Target="http://refhub.elsevier.com/S0022-0965(20)30514-2/h0060" TargetMode="External"/><Relationship Id="rId35" Type="http://schemas.openxmlformats.org/officeDocument/2006/relationships/hyperlink" Target="http://refhub.elsevier.com/S0022-0965(20)30514-2/h0065" TargetMode="External"/><Relationship Id="rId36" Type="http://schemas.openxmlformats.org/officeDocument/2006/relationships/hyperlink" Target="http://refhub.elsevier.com/S0022-0965(20)30514-2/h0070" TargetMode="External"/><Relationship Id="rId37" Type="http://schemas.openxmlformats.org/officeDocument/2006/relationships/hyperlink" Target="https://doi.org/10.1016/j.cogdev.2009.10.001" TargetMode="External"/><Relationship Id="rId38" Type="http://schemas.openxmlformats.org/officeDocument/2006/relationships/hyperlink" Target="http://refhub.elsevier.com/S0022-0965(20)30514-2/h0075" TargetMode="External"/><Relationship Id="rId39" Type="http://schemas.openxmlformats.org/officeDocument/2006/relationships/hyperlink" Target="http://refhub.elsevier.com/S0022-0965(20)30514-2/h0080" TargetMode="External"/><Relationship Id="rId40" Type="http://schemas.openxmlformats.org/officeDocument/2006/relationships/hyperlink" Target="http://refhub.elsevier.com/S0022-0965(20)30514-2/h0085" TargetMode="External"/><Relationship Id="rId41" Type="http://schemas.openxmlformats.org/officeDocument/2006/relationships/hyperlink" Target="http://refhub.elsevier.com/S0022-0965(20)30514-2/h0090" TargetMode="External"/><Relationship Id="rId42" Type="http://schemas.openxmlformats.org/officeDocument/2006/relationships/hyperlink" Target="http://refhub.elsevier.com/S0022-0965(20)30514-2/h0095" TargetMode="External"/><Relationship Id="rId43" Type="http://schemas.openxmlformats.org/officeDocument/2006/relationships/hyperlink" Target="http://refhub.elsevier.com/S0022-0965(20)30514-2/h0100" TargetMode="External"/><Relationship Id="rId44" Type="http://schemas.openxmlformats.org/officeDocument/2006/relationships/hyperlink" Target="http://refhub.elsevier.com/S0022-0965(20)30514-2/h0105" TargetMode="External"/><Relationship Id="rId45" Type="http://schemas.openxmlformats.org/officeDocument/2006/relationships/hyperlink" Target="http://refhub.elsevier.com/S0022-0965(20)30514-2/h0110" TargetMode="External"/><Relationship Id="rId46" Type="http://schemas.openxmlformats.org/officeDocument/2006/relationships/hyperlink" Target="http://refhub.elsevier.com/S0022-0965(20)30514-2/h0115" TargetMode="External"/><Relationship Id="rId47" Type="http://schemas.openxmlformats.org/officeDocument/2006/relationships/hyperlink" Target="http://refhub.elsevier.com/S0022-0965(20)30514-2/h0120" TargetMode="External"/><Relationship Id="rId48" Type="http://schemas.openxmlformats.org/officeDocument/2006/relationships/hyperlink" Target="http://refhub.elsevier.com/S0022-0965(20)30514-2/h0125" TargetMode="External"/><Relationship Id="rId49" Type="http://schemas.openxmlformats.org/officeDocument/2006/relationships/hyperlink" Target="http://refhub.elsevier.com/S0022-0965(20)30514-2/h0130" TargetMode="External"/><Relationship Id="rId50" Type="http://schemas.openxmlformats.org/officeDocument/2006/relationships/hyperlink" Target="http://refhub.elsevier.com/S0022-0965(20)30514-2/h0135" TargetMode="External"/><Relationship Id="rId51" Type="http://schemas.openxmlformats.org/officeDocument/2006/relationships/hyperlink" Target="http://refhub.elsevier.com/S0022-0965(20)30514-2/h0140" TargetMode="External"/><Relationship Id="rId52" Type="http://schemas.openxmlformats.org/officeDocument/2006/relationships/hyperlink" Target="http://refhub.elsevier.com/S0022-0965(20)30514-2/h0145" TargetMode="External"/><Relationship Id="rId53" Type="http://schemas.openxmlformats.org/officeDocument/2006/relationships/hyperlink" Target="http://refhub.elsevier.com/S0022-0965(20)30514-2/h0150" TargetMode="External"/><Relationship Id="rId54" Type="http://schemas.openxmlformats.org/officeDocument/2006/relationships/hyperlink" Target="http://refhub.elsevier.com/S0022-0965(20)30514-2/h0155" TargetMode="External"/><Relationship Id="rId55" Type="http://schemas.openxmlformats.org/officeDocument/2006/relationships/hyperlink" Target="http://refhub.elsevier.com/S0022-0965(20)30514-2/h0160" TargetMode="External"/><Relationship Id="rId56" Type="http://schemas.openxmlformats.org/officeDocument/2006/relationships/hyperlink" Target="http://refhub.elsevier.com/S0022-0965(20)30514-2/h0165" TargetMode="External"/><Relationship Id="rId57" Type="http://schemas.openxmlformats.org/officeDocument/2006/relationships/hyperlink" Target="http://refhub.elsevier.com/S0022-0965(20)30514-2/h0170" TargetMode="External"/><Relationship Id="rId58" Type="http://schemas.openxmlformats.org/officeDocument/2006/relationships/hyperlink" Target="http://refhub.elsevier.com/S0022-0965(20)30514-2/h0175" TargetMode="External"/><Relationship Id="rId59" Type="http://schemas.openxmlformats.org/officeDocument/2006/relationships/hyperlink" Target="http://refhub.elsevier.com/S0022-0965(20)30514-2/h0180" TargetMode="External"/><Relationship Id="rId60" Type="http://schemas.openxmlformats.org/officeDocument/2006/relationships/hyperlink" Target="http://refhub.elsevier.com/S0022-0965(20)30514-2/h0185" TargetMode="External"/><Relationship Id="rId61" Type="http://schemas.openxmlformats.org/officeDocument/2006/relationships/hyperlink" Target="http://refhub.elsevier.com/S0022-0965(20)30514-2/h0190" TargetMode="External"/><Relationship Id="rId62" Type="http://schemas.openxmlformats.org/officeDocument/2006/relationships/hyperlink" Target="http://refhub.elsevier.com/S0022-0965(20)30514-2/h0195" TargetMode="External"/><Relationship Id="rId63" Type="http://schemas.openxmlformats.org/officeDocument/2006/relationships/hyperlink" Target="http://refhub.elsevier.com/S0022-0965(20)30514-2/h0200" TargetMode="External"/><Relationship Id="rId64" Type="http://schemas.openxmlformats.org/officeDocument/2006/relationships/hyperlink" Target="http://refhub.elsevier.com/S0022-0965(20)30514-2/h0205" TargetMode="External"/><Relationship Id="rId65" Type="http://schemas.openxmlformats.org/officeDocument/2006/relationships/hyperlink" Target="http://refhub.elsevier.com/S0022-0965(20)30514-2/h0210" TargetMode="External"/><Relationship Id="rId66" Type="http://schemas.openxmlformats.org/officeDocument/2006/relationships/hyperlink" Target="http://refhub.elsevier.com/S0022-0965(20)30514-2/h0215" TargetMode="External"/><Relationship Id="rId67" Type="http://schemas.openxmlformats.org/officeDocument/2006/relationships/hyperlink" Target="http://refhub.elsevier.com/S0022-0965(20)30514-2/h0220" TargetMode="External"/><Relationship Id="rId68" Type="http://schemas.openxmlformats.org/officeDocument/2006/relationships/hyperlink" Target="http://refhub.elsevier.com/S0022-0965(20)30514-2/h0225" TargetMode="External"/><Relationship Id="rId69" Type="http://schemas.openxmlformats.org/officeDocument/2006/relationships/hyperlink" Target="http://refhub.elsevier.com/S0022-0965(20)30514-2/h0230" TargetMode="External"/><Relationship Id="rId70" Type="http://schemas.openxmlformats.org/officeDocument/2006/relationships/hyperlink" Target="http://refhub.elsevier.com/S0022-0965(20)30514-2/h0235" TargetMode="External"/><Relationship Id="rId71" Type="http://schemas.openxmlformats.org/officeDocument/2006/relationships/hyperlink" Target="http://refhub.elsevier.com/S0022-0965(20)30514-2/h0240" TargetMode="External"/><Relationship Id="rId72" Type="http://schemas.openxmlformats.org/officeDocument/2006/relationships/hyperlink" Target="http://refhub.elsevier.com/S0022-0965(20)30514-2/h0245" TargetMode="External"/><Relationship Id="rId73" Type="http://schemas.openxmlformats.org/officeDocument/2006/relationships/hyperlink" Target="http://refhub.elsevier.com/S0022-0965(20)30514-2/h0250" TargetMode="External"/><Relationship Id="rId74" Type="http://schemas.openxmlformats.org/officeDocument/2006/relationships/hyperlink" Target="http://refhub.elsevier.com/S0022-0965(20)30514-2/h0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