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2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FFFFFF"/>
          <w:sz w:val="19"/>
        </w:rPr>
        <w:t>9251</w:t>
      </w:r>
      <w:r>
        <w:rPr>
          <w:rFonts w:ascii="TimesNewRomanPS" w:hAnsi="TimesNewRomanPS" w:eastAsia="TimesNewRomanPS"/>
          <w:b/>
          <w:i w:val="0"/>
          <w:color w:val="FFFFFF"/>
          <w:sz w:val="19"/>
        </w:rPr>
        <w:hyperlink r:id="rId9" w:history="1">
          <w:r>
            <w:rPr>
              <w:rStyle w:val="Hyperlink"/>
            </w:rPr>
            <w:t>33</w:t>
          </w:r>
        </w:hyperlink>
      </w:r>
      <w:r>
        <w:rPr>
          <w:rFonts w:ascii="GillSansMTPro" w:hAnsi="GillSansMTPro" w:eastAsia="GillSansMTPro"/>
          <w:b w:val="0"/>
          <w:i w:val="0"/>
          <w:color w:val="FFFFFF"/>
          <w:sz w:val="2"/>
        </w:rPr>
        <w:t xml:space="preserve"> SAG</w:t>
      </w:r>
      <w:r>
        <w:rPr>
          <w:rFonts w:ascii="TimesNewRomanPSMT" w:hAnsi="TimesNewRomanPSMT" w:eastAsia="TimesNewRomanPSMT"/>
          <w:b w:val="0"/>
          <w:i w:val="0"/>
          <w:color w:val="FFFFFF"/>
          <w:sz w:val="2"/>
        </w:rPr>
        <w:t>XXX10.1177/1046878120925133Simulation &amp; Gaming</w:t>
      </w:r>
      <w:r>
        <w:rPr>
          <w:rFonts w:ascii="GillSansMTPro" w:hAnsi="GillSansMTPro" w:eastAsia="GillSansMTPro"/>
          <w:b/>
          <w:i w:val="0"/>
          <w:color w:val="FFFFFF"/>
          <w:sz w:val="2"/>
        </w:rPr>
        <w:t>Fjællingsdal and Klöckner</w:t>
      </w:r>
    </w:p>
    <w:p>
      <w:pPr>
        <w:autoSpaceDN w:val="0"/>
        <w:autoSpaceDE w:val="0"/>
        <w:widowControl/>
        <w:spacing w:line="240" w:lineRule="auto" w:before="0" w:after="0"/>
        <w:ind w:left="3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12800" cy="16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62" w:lineRule="exact" w:before="206" w:after="304"/>
        <w:ind w:left="720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14"/>
        </w:rPr>
        <w:t>Article</w:t>
      </w:r>
    </w:p>
    <w:p>
      <w:pPr>
        <w:sectPr>
          <w:pgSz w:w="8640" w:h="12960"/>
          <w:pgMar w:top="0" w:right="884" w:bottom="818" w:left="120" w:header="720" w:footer="720" w:gutter="0"/>
          <w:cols w:space="720" w:num="1" w:equalWidth="0"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360" w:lineRule="exact" w:before="24" w:after="0"/>
        <w:ind w:left="720" w:right="144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32"/>
        </w:rPr>
        <w:t xml:space="preserve">Green Across the </w:t>
      </w:r>
      <w:r>
        <w:br/>
      </w:r>
      <w:r>
        <w:rPr>
          <w:rFonts w:ascii="GillSansMTPro" w:hAnsi="GillSansMTPro" w:eastAsia="GillSansMTPro"/>
          <w:b/>
          <w:i w:val="0"/>
          <w:color w:val="221F1F"/>
          <w:sz w:val="32"/>
        </w:rPr>
        <w:t xml:space="preserve">Board: Board Games as </w:t>
      </w:r>
      <w:r>
        <w:rPr>
          <w:rFonts w:ascii="GillSansMTPro" w:hAnsi="GillSansMTPro" w:eastAsia="GillSansMTPro"/>
          <w:b/>
          <w:i w:val="0"/>
          <w:color w:val="221F1F"/>
          <w:sz w:val="32"/>
        </w:rPr>
        <w:t xml:space="preserve">Tools for Dialogue and </w:t>
      </w:r>
      <w:r>
        <w:br/>
      </w:r>
      <w:r>
        <w:rPr>
          <w:rFonts w:ascii="GillSansMTPro" w:hAnsi="GillSansMTPro" w:eastAsia="GillSansMTPro"/>
          <w:b/>
          <w:i w:val="0"/>
          <w:color w:val="221F1F"/>
          <w:sz w:val="32"/>
        </w:rPr>
        <w:t xml:space="preserve">Simplified Environmental </w:t>
      </w:r>
      <w:r>
        <w:rPr>
          <w:rFonts w:ascii="GillSansMTPro" w:hAnsi="GillSansMTPro" w:eastAsia="GillSansMTPro"/>
          <w:b/>
          <w:i w:val="0"/>
          <w:color w:val="221F1F"/>
          <w:sz w:val="32"/>
        </w:rPr>
        <w:t>Communication</w:t>
      </w:r>
    </w:p>
    <w:p>
      <w:pPr>
        <w:sectPr>
          <w:type w:val="continuous"/>
          <w:pgSz w:w="8640" w:h="12960"/>
          <w:pgMar w:top="0" w:right="884" w:bottom="818" w:left="120" w:header="720" w:footer="720" w:gutter="0"/>
          <w:cols w:space="720" w:num="2" w:equalWidth="0"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0" w:after="0"/>
        <w:ind w:left="1152" w:right="38" w:firstLine="0"/>
        <w:jc w:val="right"/>
      </w:pPr>
      <w:r>
        <w:rPr>
          <w:rFonts w:ascii="GillSansMTPro" w:hAnsi="GillSansMTPro" w:eastAsia="GillSansMTPro"/>
          <w:b w:val="0"/>
          <w:i w:val="0"/>
          <w:color w:val="221F1F"/>
          <w:sz w:val="14"/>
        </w:rPr>
        <w:t xml:space="preserve">Simulation &amp; Gaming </w:t>
      </w:r>
      <w:r>
        <w:br/>
      </w:r>
      <w:r>
        <w:rPr>
          <w:rFonts w:ascii="GillSansMTPro" w:hAnsi="GillSansMTPro" w:eastAsia="GillSansMTPro"/>
          <w:b w:val="0"/>
          <w:i w:val="0"/>
          <w:color w:val="221F1F"/>
          <w:sz w:val="14"/>
        </w:rPr>
        <w:t>2020, Vol. 51(5) 632 –652</w:t>
      </w:r>
      <w:r>
        <w:rPr>
          <w:rFonts w:ascii="GillSansMTPro" w:hAnsi="GillSansMTPro" w:eastAsia="GillSansMTPro"/>
          <w:b w:val="0"/>
          <w:i w:val="0"/>
          <w:color w:val="221F1F"/>
          <w:sz w:val="14"/>
        </w:rPr>
        <w:t xml:space="preserve">© The Author(s) 2020 </w:t>
      </w:r>
    </w:p>
    <w:p>
      <w:pPr>
        <w:autoSpaceDN w:val="0"/>
        <w:autoSpaceDE w:val="0"/>
        <w:widowControl/>
        <w:spacing w:line="240" w:lineRule="auto" w:before="36" w:after="0"/>
        <w:ind w:left="0" w:right="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1800" cy="1498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49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94" w:val="left"/>
          <w:tab w:pos="1314" w:val="left"/>
        </w:tabs>
        <w:autoSpaceDE w:val="0"/>
        <w:widowControl/>
        <w:spacing w:line="170" w:lineRule="exact" w:before="34" w:after="0"/>
        <w:ind w:left="738" w:right="0" w:firstLine="0"/>
        <w:jc w:val="left"/>
      </w:pPr>
      <w:r>
        <w:tab/>
      </w:r>
      <w:r>
        <w:rPr>
          <w:rFonts w:ascii="GillSansMTPro" w:hAnsi="GillSansMTPro" w:eastAsia="GillSansMTPro"/>
          <w:b w:val="0"/>
          <w:i w:val="0"/>
          <w:color w:val="221F1F"/>
          <w:sz w:val="14"/>
        </w:rPr>
        <w:t xml:space="preserve">Article reuse guidelines: </w:t>
      </w:r>
      <w:r>
        <w:rPr>
          <w:rFonts w:ascii="GillSansMTPro" w:hAnsi="GillSansMTPro" w:eastAsia="GillSansMTPro"/>
          <w:b w:val="0"/>
          <w:i w:val="0"/>
          <w:color w:val="221F1F"/>
          <w:sz w:val="14"/>
        </w:rPr>
        <w:hyperlink r:id="rId12" w:history="1">
          <w:r>
            <w:rPr>
              <w:rStyle w:val="Hyperlink"/>
            </w:rPr>
            <w:t>sagepub.com/journals-permissions</w:t>
          </w:r>
        </w:hyperlink>
      </w:r>
      <w:r>
        <w:rPr>
          <w:rFonts w:ascii="GillSansMTPro" w:hAnsi="GillSansMTPro" w:eastAsia="GillSansMTPro"/>
          <w:b w:val="0"/>
          <w:i w:val="0"/>
          <w:color w:val="221F1F"/>
          <w:sz w:val="14"/>
        </w:rPr>
        <w:t xml:space="preserve"> </w:t>
      </w:r>
      <w:r>
        <w:rPr>
          <w:rFonts w:ascii="GillSansMTPro" w:hAnsi="GillSansMTPro" w:eastAsia="GillSansMTPro"/>
          <w:b w:val="0"/>
          <w:i w:val="0"/>
          <w:color w:val="221F1F"/>
          <w:sz w:val="14"/>
        </w:rPr>
        <w:t xml:space="preserve">DOI: 10.1177/1046878120925133 </w:t>
      </w:r>
      <w:r>
        <w:tab/>
      </w:r>
      <w:r>
        <w:rPr>
          <w:rFonts w:ascii="GillSansMTPro" w:hAnsi="GillSansMTPro" w:eastAsia="GillSansMTPro"/>
          <w:b w:val="0"/>
          <w:i w:val="0"/>
          <w:color w:val="221F1F"/>
          <w:sz w:val="14"/>
        </w:rPr>
        <w:hyperlink r:id="rId13" w:history="1">
          <w:r>
            <w:rPr>
              <w:rStyle w:val="Hyperlink"/>
            </w:rPr>
            <w:t>journals.sagepub.com/home/sag</w:t>
          </w:r>
        </w:hyperlink>
      </w:r>
    </w:p>
    <w:p>
      <w:pPr>
        <w:autoSpaceDN w:val="0"/>
        <w:autoSpaceDE w:val="0"/>
        <w:widowControl/>
        <w:spacing w:line="240" w:lineRule="auto" w:before="26" w:after="0"/>
        <w:ind w:left="0" w:right="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95300" cy="165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6"/>
        <w:sectPr>
          <w:type w:val="nextColumn"/>
          <w:pgSz w:w="8640" w:h="12960"/>
          <w:pgMar w:top="0" w:right="884" w:bottom="818" w:left="120" w:header="720" w:footer="720" w:gutter="0"/>
          <w:cols w:space="720" w:num="2" w:equalWidth="0"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20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Kristoffer S. Fjællingsdal</w:t>
      </w:r>
      <w:r>
        <w:rPr>
          <w:w w:val="97.50000238418579"/>
          <w:rFonts w:ascii="GillSansMTPro" w:hAnsi="GillSansMTPro" w:eastAsia="GillSansMTPro"/>
          <w:b/>
          <w:i w:val="0"/>
          <w:color w:val="221F1F"/>
          <w:sz w:val="16"/>
        </w:rPr>
        <w:t>1</w:t>
      </w:r>
      <w:r>
        <w:drawing>
          <wp:inline xmlns:a="http://schemas.openxmlformats.org/drawingml/2006/main" xmlns:pic="http://schemas.openxmlformats.org/drawingml/2006/picture">
            <wp:extent cx="1524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GillSansMTPro" w:hAnsi="GillSansMTPro" w:eastAsia="GillSansMTPro"/>
          <w:b/>
          <w:i w:val="0"/>
          <w:color w:val="221F1F"/>
          <w:sz w:val="24"/>
        </w:rPr>
        <w:t xml:space="preserve"> and Christian A. Klöckner</w:t>
      </w:r>
      <w:r>
        <w:rPr>
          <w:w w:val="97.50000238418579"/>
          <w:rFonts w:ascii="GillSansMTPro" w:hAnsi="GillSansMTPro" w:eastAsia="GillSansMTPro"/>
          <w:b/>
          <w:i w:val="0"/>
          <w:color w:val="221F1F"/>
          <w:sz w:val="16"/>
        </w:rPr>
        <w:t>1</w:t>
      </w:r>
    </w:p>
    <w:p>
      <w:pPr>
        <w:autoSpaceDN w:val="0"/>
        <w:autoSpaceDE w:val="0"/>
        <w:widowControl/>
        <w:spacing w:line="240" w:lineRule="exact" w:before="710" w:after="0"/>
        <w:ind w:left="720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0"/>
        </w:rPr>
        <w:t>Abstract</w:t>
      </w:r>
    </w:p>
    <w:p>
      <w:pPr>
        <w:autoSpaceDN w:val="0"/>
        <w:autoSpaceDE w:val="0"/>
        <w:widowControl/>
        <w:spacing w:line="240" w:lineRule="exact" w:before="120" w:after="0"/>
        <w:ind w:left="1200" w:right="20" w:hanging="240"/>
        <w:jc w:val="both"/>
      </w:pPr>
      <w:r>
        <w:rPr>
          <w:rFonts w:ascii="GillSansMTPro" w:hAnsi="GillSansMTPro" w:eastAsia="GillSansMTPro"/>
          <w:b w:val="0"/>
          <w:i/>
          <w:color w:val="221F1F"/>
          <w:sz w:val="20"/>
        </w:rPr>
        <w:t>Background.</w:t>
      </w:r>
      <w:r>
        <w:rPr>
          <w:rFonts w:ascii="GillSansMTPro" w:hAnsi="GillSansMTPro" w:eastAsia="GillSansMTPro"/>
          <w:b/>
          <w:i w:val="0"/>
          <w:color w:val="221F1F"/>
          <w:sz w:val="20"/>
        </w:rPr>
        <w:t xml:space="preserve"> Board games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 are a promising, yet rarely used arena for learning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about </w:t>
      </w:r>
      <w:r>
        <w:rPr>
          <w:rFonts w:ascii="GillSansMTPro" w:hAnsi="GillSansMTPro" w:eastAsia="GillSansMTPro"/>
          <w:b/>
          <w:i w:val="0"/>
          <w:color w:val="221F1F"/>
          <w:sz w:val="20"/>
        </w:rPr>
        <w:t>environmental issues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. Existing research suggests that they are highly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innovative communication tools that make complex sustainability problems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more salient and easily understandable. To date, little to no research exists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where several environment-themed board games have been compared in a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>single study.</w:t>
      </w:r>
    </w:p>
    <w:p>
      <w:pPr>
        <w:autoSpaceDN w:val="0"/>
        <w:autoSpaceDE w:val="0"/>
        <w:widowControl/>
        <w:spacing w:line="240" w:lineRule="exact" w:before="120" w:after="0"/>
        <w:ind w:left="1200" w:right="20" w:hanging="240"/>
        <w:jc w:val="both"/>
      </w:pPr>
      <w:r>
        <w:rPr>
          <w:rFonts w:ascii="GillSansMTPro" w:hAnsi="GillSansMTPro" w:eastAsia="GillSansMTPro"/>
          <w:b w:val="0"/>
          <w:i/>
          <w:color w:val="221F1F"/>
          <w:sz w:val="20"/>
        </w:rPr>
        <w:t>Method.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17 respondents were invited to board game nights where they were tasked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to play an environmental board game of their choosing. The respondents were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then invited to participate in subsequent focus group interviews about their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>gameplay experience and learning outcomes.</w:t>
      </w:r>
    </w:p>
    <w:p>
      <w:pPr>
        <w:autoSpaceDN w:val="0"/>
        <w:autoSpaceDE w:val="0"/>
        <w:widowControl/>
        <w:spacing w:line="240" w:lineRule="exact" w:before="120" w:after="0"/>
        <w:ind w:left="1200" w:right="20" w:hanging="240"/>
        <w:jc w:val="both"/>
      </w:pPr>
      <w:r>
        <w:rPr>
          <w:rFonts w:ascii="GillSansMTPro" w:hAnsi="GillSansMTPro" w:eastAsia="GillSansMTPro"/>
          <w:b w:val="0"/>
          <w:i/>
          <w:color w:val="221F1F"/>
          <w:sz w:val="20"/>
        </w:rPr>
        <w:t>Results.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5 focus group interviews were transcribed and subjected to a qualitative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thematic analysis, revealing 2 main themes; the first revolving around board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games as simplified environmental simulations and the second revolving around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>the players’ perceptions of their own impact on the game board.</w:t>
      </w:r>
    </w:p>
    <w:p>
      <w:pPr>
        <w:autoSpaceDN w:val="0"/>
        <w:autoSpaceDE w:val="0"/>
        <w:widowControl/>
        <w:spacing w:line="240" w:lineRule="exact" w:before="120" w:after="0"/>
        <w:ind w:left="1200" w:right="20" w:hanging="240"/>
        <w:jc w:val="both"/>
      </w:pPr>
      <w:r>
        <w:rPr>
          <w:rFonts w:ascii="GillSansMTPro" w:hAnsi="GillSansMTPro" w:eastAsia="GillSansMTPro"/>
          <w:b w:val="0"/>
          <w:i/>
          <w:color w:val="221F1F"/>
          <w:sz w:val="20"/>
        </w:rPr>
        <w:t>Conclusion.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Our results suggest that board games can be highly effective tools in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some aspects of environmental communication. Limitations of the study and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>suggestions for future research are discussed.</w:t>
      </w:r>
    </w:p>
    <w:p>
      <w:pPr>
        <w:autoSpaceDN w:val="0"/>
        <w:autoSpaceDE w:val="0"/>
        <w:widowControl/>
        <w:spacing w:line="190" w:lineRule="exact" w:before="750" w:after="0"/>
        <w:ind w:left="720" w:right="0" w:firstLine="0"/>
        <w:jc w:val="left"/>
      </w:pPr>
      <w:r>
        <w:rPr>
          <w:w w:val="103.99999618530273"/>
          <w:rFonts w:ascii="GillSansMTPro" w:hAnsi="GillSansMTPro" w:eastAsia="GillSansMTPro"/>
          <w:b w:val="0"/>
          <w:i w:val="0"/>
          <w:color w:val="221F1F"/>
          <w:sz w:val="10"/>
        </w:rPr>
        <w:t>1</w:t>
      </w:r>
      <w:r>
        <w:rPr>
          <w:rFonts w:ascii="GillSansMTPro" w:hAnsi="GillSansMTPro" w:eastAsia="GillSansMTPro"/>
          <w:b w:val="0"/>
          <w:i w:val="0"/>
          <w:color w:val="221F1F"/>
          <w:sz w:val="16"/>
        </w:rPr>
        <w:t>Norwegian University of Science and Technology, Norway</w:t>
      </w:r>
    </w:p>
    <w:p>
      <w:pPr>
        <w:autoSpaceDN w:val="0"/>
        <w:autoSpaceDE w:val="0"/>
        <w:widowControl/>
        <w:spacing w:line="198" w:lineRule="exact" w:before="124" w:after="0"/>
        <w:ind w:left="720" w:right="144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16"/>
        </w:rPr>
        <w:t xml:space="preserve">Corresponding Author: </w:t>
      </w:r>
      <w:r>
        <w:br/>
      </w:r>
      <w:r>
        <w:rPr>
          <w:rFonts w:ascii="GillSansMTPro" w:hAnsi="GillSansMTPro" w:eastAsia="GillSansMTPro"/>
          <w:b w:val="0"/>
          <w:i w:val="0"/>
          <w:color w:val="221F1F"/>
          <w:sz w:val="16"/>
        </w:rPr>
        <w:t xml:space="preserve">Kristoffer S. Fjællingsdal, Department of Psychology, Norwegian University of Science and Technology, </w:t>
      </w:r>
      <w:r>
        <w:rPr>
          <w:rFonts w:ascii="GillSansMTPro" w:hAnsi="GillSansMTPro" w:eastAsia="GillSansMTPro"/>
          <w:b w:val="0"/>
          <w:i w:val="0"/>
          <w:color w:val="221F1F"/>
          <w:sz w:val="16"/>
        </w:rPr>
        <w:t xml:space="preserve">Trondheim, Norway. </w:t>
      </w:r>
    </w:p>
    <w:p>
      <w:pPr>
        <w:autoSpaceDN w:val="0"/>
        <w:autoSpaceDE w:val="0"/>
        <w:widowControl/>
        <w:spacing w:line="186" w:lineRule="exact" w:before="14" w:after="0"/>
        <w:ind w:left="720" w:right="0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6"/>
        </w:rPr>
        <w:t xml:space="preserve">Email: </w:t>
      </w:r>
      <w:r>
        <w:rPr>
          <w:rFonts w:ascii="GillSansMTPro" w:hAnsi="GillSansMTPro" w:eastAsia="GillSansMTPro"/>
          <w:b w:val="0"/>
          <w:i w:val="0"/>
          <w:color w:val="221F1F"/>
          <w:sz w:val="16"/>
        </w:rPr>
        <w:hyperlink r:id="rId16" w:history="1">
          <w:r>
            <w:rPr>
              <w:rStyle w:val="Hyperlink"/>
            </w:rPr>
            <w:t>kristoffer.fjallingsdal@ntnu.no</w:t>
          </w:r>
        </w:hyperlink>
      </w:r>
    </w:p>
    <w:p>
      <w:pPr>
        <w:sectPr>
          <w:type w:val="continuous"/>
          <w:pgSz w:w="8640" w:h="12960"/>
          <w:pgMar w:top="0" w:right="884" w:bottom="818" w:left="120" w:header="720" w:footer="720" w:gutter="0"/>
          <w:cols w:space="720" w:num="1" w:equalWidth="0"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9"/>
        <w:gridCol w:w="3459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 xml:space="preserve">Fjællingsdal and Klöckner </w:t>
            </w:r>
          </w:p>
        </w:tc>
        <w:tc>
          <w:tcPr>
            <w:tcW w:type="dxa" w:w="2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633</w:t>
            </w:r>
          </w:p>
        </w:tc>
      </w:tr>
    </w:tbl>
    <w:p>
      <w:pPr>
        <w:autoSpaceDN w:val="0"/>
        <w:autoSpaceDE w:val="0"/>
        <w:widowControl/>
        <w:spacing w:line="240" w:lineRule="exact" w:before="320" w:after="0"/>
        <w:ind w:left="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0"/>
        </w:rPr>
        <w:t xml:space="preserve">Keywords </w:t>
      </w:r>
      <w:r>
        <w:br/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board games, educational games, environmental communication, games for change,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>sustainability</w:t>
      </w:r>
    </w:p>
    <w:p>
      <w:pPr>
        <w:autoSpaceDN w:val="0"/>
        <w:autoSpaceDE w:val="0"/>
        <w:widowControl/>
        <w:spacing w:line="288" w:lineRule="exact" w:before="322" w:after="0"/>
        <w:ind w:left="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Background</w:t>
      </w:r>
    </w:p>
    <w:p>
      <w:pPr>
        <w:autoSpaceDN w:val="0"/>
        <w:autoSpaceDE w:val="0"/>
        <w:widowControl/>
        <w:spacing w:line="240" w:lineRule="exact" w:before="10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Scientific evidence for the increase in anthropogenic global warming is nearly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unequivocal (Cook et al., 2013; Eisenack &amp; Reckien, 2013), and due to the interwoven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relationship between the environment and basic human needs such as food, health,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energy, and security (Lakoff, 2010), the need for increasing public awareness of envi-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ronmental issues is at an all-time high. Our ecological impact is increasingly notice-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able: higher carbon emissions, deforestation and rapidly rising sea levels are just some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the indications that human life on Earth is threatened (McGonigal, 2011, p. 296).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Innovative approaches to communicating about the detrimental effects of climate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change are required for increasing public knowledge and consciousness surrounding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variety of environmental topics (Eisenack, 2012; Klöckner, 2015). One such approach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comes in the shape of board games, which are shown to be effective learning tools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other fields such as health and medicine (Gauthier et al., 2019; Ogershok &amp; Cottrell,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2004; van der Stege et al., 2010), therapy (Olsen et al., 2013) and a variety of class-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room situations (Copeland et al., 2013). Board games such as SEttLERS Of Catan: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OIL SpRInGS (Chappin et al., 2017), KEEp COOL (Eisenack, 2012) and GLOBaL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WaRMInG (fennewald &amp; Kievit-Kylar, 2013) have become popular in the field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environmental science, where they are primarily used to increase environmental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knowledge and encourage debate surrounding environmental topics. to date, however,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empirical foundation surrounding the potential of environmental board games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educational tools is still lacking (Klöckner, 2015, p. 205) – despite the emerging trend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board games being used to clarify and educate about real-life problems (Wonica,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2015). this article therefore seeks to investigate how environmentally themed board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games can be used as tools in generating environmental awareness.</w:t>
      </w:r>
    </w:p>
    <w:p>
      <w:pPr>
        <w:autoSpaceDN w:val="0"/>
        <w:autoSpaceDE w:val="0"/>
        <w:widowControl/>
        <w:spacing w:line="280" w:lineRule="exact" w:before="334" w:after="0"/>
        <w:ind w:left="2" w:right="1008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 xml:space="preserve">Environmental Science Communication and Board </w:t>
      </w:r>
      <w:r>
        <w:rPr>
          <w:rFonts w:ascii="GillSansMTPro" w:hAnsi="GillSansMTPro" w:eastAsia="GillSansMTPro"/>
          <w:b/>
          <w:i w:val="0"/>
          <w:color w:val="221F1F"/>
          <w:sz w:val="24"/>
        </w:rPr>
        <w:t>Games</w:t>
      </w:r>
    </w:p>
    <w:p>
      <w:pPr>
        <w:autoSpaceDN w:val="0"/>
        <w:autoSpaceDE w:val="0"/>
        <w:widowControl/>
        <w:spacing w:line="240" w:lineRule="exact" w:before="10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Environmental issues are highly complex (Despeisse, 2018; Kollmuss &amp; agyeman,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2002), distant and often framed as catastrophic or lacking scientific certainty in terms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their future global impact (Weingart et al., 2000). the explanatory climate change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models that dominate environmental science are often met with public skepticism due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to their perceived vagueness (Vatne, 2013, p. 43), and scientific language about cli-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mate change and other environmental issues can be difficult for the general public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comprehend (fischhoff, 2007; Hassol, 2008). additionally, environmental decline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often a largely invisible entity (Hansen &amp; Machin, 2013) that, once salient, is no lon-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ger preventable. Being able to envision and imagine an environmental issue might </w:t>
      </w:r>
    </w:p>
    <w:p>
      <w:pPr>
        <w:sectPr>
          <w:pgSz w:w="8640" w:h="12960"/>
          <w:pgMar w:top="276" w:right="764" w:bottom="850" w:left="958" w:header="720" w:footer="720" w:gutter="0"/>
          <w:cols w:space="720" w:num="1" w:equalWidth="0"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634</w:t>
            </w:r>
          </w:p>
        </w:tc>
        <w:tc>
          <w:tcPr>
            <w:tcW w:type="dxa" w:w="43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Simulation &amp; Gaming 51(5)</w:t>
            </w:r>
          </w:p>
        </w:tc>
      </w:tr>
    </w:tbl>
    <w:p>
      <w:pPr>
        <w:autoSpaceDN w:val="0"/>
        <w:autoSpaceDE w:val="0"/>
        <w:widowControl/>
        <w:spacing w:line="240" w:lineRule="exact" w:before="258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make them appear to be more pressing (Klöckner, 2015, p. 63; tversky &amp; Kahneman,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1973, 1974), but traditional environmental communication rarely puts emphasis on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visual or tactile aspects of environmental decline. Consequentially, environmental sci-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entists – justifiably criticized for being rather ineffective communicators towards lay-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people (Hassol, 2008) – are calling for more approachable, illustrative and participatory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forms of scientific communication surrounding the topic of environmental decline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(Despeisse, 2018; Stanitsas et al., 2019; Stoknes, 2017).</w:t>
      </w:r>
    </w:p>
    <w:p>
      <w:pPr>
        <w:autoSpaceDN w:val="0"/>
        <w:autoSpaceDE w:val="0"/>
        <w:widowControl/>
        <w:spacing w:line="288" w:lineRule="exact" w:before="326" w:after="0"/>
        <w:ind w:left="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Board Game Tactility and Simplification of Reality</w:t>
      </w:r>
    </w:p>
    <w:p>
      <w:pPr>
        <w:autoSpaceDN w:val="0"/>
        <w:autoSpaceDE w:val="0"/>
        <w:widowControl/>
        <w:spacing w:line="240" w:lineRule="exact" w:before="10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While board games are incapable of depicting the complexity of environmental issues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scientifically accurate detail, they can simplify them for laypeople (abt, 1987, p.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21), generate awareness surrounding environmental and social threats (García-Barros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et al., 2015), illustrate complex systems (Castronova &amp; Knowles, 2015; Cushman-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Roisin et al., 2000) and involve the learners in complex situations where their deci-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sions have a noticeable impact (Despeisse, 2018). they allow their players to interact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physical, tactile elements (Schell, 2008, p. 109; Woodbury et al., 2001; Woods,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2012, p. 161) rather than abstract, text-based representations of what environmental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issues involve. the tactile and pleasurable nature of well-made board games is impor-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tant (Kosa &amp; Spronck, 2018) as it has been shown to encourage repeated play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(Costikyan, 2002, p. 26; Xie et al., 2008) and, therefore, repeated exposure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material the game seeks to teach, as well as making the game feel more ‘real’ (Rogerson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et al., 2016). tangible pieces on a game board also tend to make the game more engag-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ing and exciting (price et al., 2003) and more accessible than digital, screen-based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interfaces (Mcnerney, 2004). additionally, physical components are occasionally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shown to be better at making certain players understand the underlying engine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game when compared to a digital game, where these physical components are removed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(Rogerson &amp; Gibbs, 2018). tactility, therefore, is certainly an important enjoyment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component to consider when wanting to apply a board game in an educational setting,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as it may have some beneficial impact on learning outcomes as well.</w:t>
      </w:r>
    </w:p>
    <w:p>
      <w:pPr>
        <w:autoSpaceDN w:val="0"/>
        <w:autoSpaceDE w:val="0"/>
        <w:widowControl/>
        <w:spacing w:line="288" w:lineRule="exact" w:before="326" w:after="0"/>
        <w:ind w:left="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Board Games and Socialization</w:t>
      </w:r>
    </w:p>
    <w:p>
      <w:pPr>
        <w:autoSpaceDN w:val="0"/>
        <w:autoSpaceDE w:val="0"/>
        <w:widowControl/>
        <w:spacing w:line="240" w:lineRule="exact" w:before="10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Game-based simulations also provide a safe, social arena in which people can experi-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ence simulated success and failure through their actions, which makes them more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capable of applying these experiences in later activities (Cushman-Roisin et al., 2000).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More of a necessity rather than a general gameplay element, the social aspect of board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games could be considered the primary factor as to why people enjoy playing them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(Woods, 2012, p. 167). Social interaction with other players during the gameplay ses-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sions allows for both competition, cooperation and collaboration (Zagal et al., 2006),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in an educational setting it allows the researcher to observe the players as their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gameplay session unfolds.</w:t>
      </w:r>
    </w:p>
    <w:p>
      <w:pPr>
        <w:sectPr>
          <w:pgSz w:w="8640" w:h="12960"/>
          <w:pgMar w:top="304" w:right="890" w:bottom="870" w:left="838" w:header="720" w:footer="720" w:gutter="0"/>
          <w:cols w:space="720" w:num="1" w:equalWidth="0"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7"/>
        <w:gridCol w:w="3457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 xml:space="preserve">Fjællingsdal and Klöckner </w:t>
            </w:r>
          </w:p>
        </w:tc>
        <w:tc>
          <w:tcPr>
            <w:tcW w:type="dxa" w:w="2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635</w:t>
            </w:r>
          </w:p>
        </w:tc>
      </w:tr>
    </w:tbl>
    <w:p>
      <w:pPr>
        <w:autoSpaceDN w:val="0"/>
        <w:autoSpaceDE w:val="0"/>
        <w:widowControl/>
        <w:spacing w:line="288" w:lineRule="exact" w:before="310" w:after="0"/>
        <w:ind w:left="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Board Games in Sustainability Education</w:t>
      </w:r>
    </w:p>
    <w:p>
      <w:pPr>
        <w:autoSpaceDN w:val="0"/>
        <w:autoSpaceDE w:val="0"/>
        <w:widowControl/>
        <w:spacing w:line="240" w:lineRule="exact" w:before="10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Board games are often considered a primitive pastime (Woods, 2012, p. 8), which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often requires a large investment of both time and energy to conduct (Rogerson &amp;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Gibbs, 2018). they are also among the oldest known sources of human cross-culture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entertainment, with some board games such as the Egyptian board game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Senet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nordic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hnefatafl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games dating back several centuries or even millenia (Sebbane,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2001). While games with an environmental focus date back little more than 30 years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(Eisenack &amp; Reckien, 2013) they have recently stirred interest among sustainability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researchers and educators – albeit primarily in the form of digital games such as fatE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Of tHE WORLD (Roberts, 2011) and ECO (Krajewski, 2018). Despite being over-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shadowed by their digital counterparts in terms of popularity in contemporary research,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environmental board games cover a variety of topics. Some, like tHE CELSIuS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GaME (Carreira et al., 2017) attempt to visualize climate change issues on a holistic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level to illustrate their interconnected complexities. Others focus more on specific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aspects of climate change, such as the water resource adaptation game WatER aRK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(Cheng et al., 2019) and tHE faRMERS (fennewald &amp; Kievit-Kylar, 2013), which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revolves around the use of shared resources. Such board games, much like certain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forms of art (Ramachandran, 2011, p. 197), have the ability to distort and exaggerate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reality and generate meaningful experiences for their audience. they also allow play-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ers to experiment with a variety of roles in a coherent narrative (arnaudo, 2018, p. 27)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within the safe confines of the game world (García-Barros et al., 2015). this is found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be a trigger for attitude change in certain settings (Elms, 1966) as well as allowing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exploring opposing perspectives (Klöckner, 2015, p. 206). furthermore, games can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create microworlds (Egenfeldt-nielsen et al., 2013, p. 237) where the players learn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through “doing” and “being” rather than passively absorbing information, as well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allowing for the envisioning and portrayal of alternate futures and realities (Barreteau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et al., 2007; Cushman-Roisin et al., 2000; Wu &amp; Lee, 2015). In a more traditional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classroom setting, the learner will usually passively absorb information from a knowl-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edgeable source and be expected to remember and understand the instructions they are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provided (Dieleman &amp; Huisingh, 2006; Krathwohl, 2002, p. 214). practical applica-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 of the obtained knowledge is often not prioritized (Kolb, 1984). By contrast,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previously mentioned, game-based learning normally situates the learner in a micro-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world where they can actively participate and interact with their environment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(Egenfeldt-nielsen et al., 2013, p. 237). Games also provide a concrete visualization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of the topic at hand, rather than forcing the learner to form a subjective, abstract con-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ceptualization of it – meaning that they “learn through doing and being” (foltz et al.,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2019), an experience-based learning approach (Rusca et al., 2012). Games can also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engross and immerse the players by providing rich and immersive narratives, which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turn might affect real-world beliefs by making the gaming experience seem real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(Green &amp; Brock, 2000). Research also shows that having someone experience fic-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tional stories about social dilemmas – i.e., a game’s narrative – might influence their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real-world judgments on them (Strange &amp; Leung, 1999). this illustrates the difference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between indirect (classroom) and direct (game or simulation) experience, where direct </w:t>
      </w:r>
    </w:p>
    <w:p>
      <w:pPr>
        <w:sectPr>
          <w:pgSz w:w="8640" w:h="12960"/>
          <w:pgMar w:top="276" w:right="768" w:bottom="678" w:left="958" w:header="720" w:footer="720" w:gutter="0"/>
          <w:cols w:space="720" w:num="1" w:equalWidth="0"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7"/>
        <w:gridCol w:w="3457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636</w:t>
            </w:r>
          </w:p>
        </w:tc>
        <w:tc>
          <w:tcPr>
            <w:tcW w:type="dxa" w:w="43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Simulation &amp; Gaming 51(5)</w:t>
            </w:r>
          </w:p>
        </w:tc>
      </w:tr>
    </w:tbl>
    <w:p>
      <w:pPr>
        <w:autoSpaceDN w:val="0"/>
        <w:autoSpaceDE w:val="0"/>
        <w:widowControl/>
        <w:spacing w:line="240" w:lineRule="exact" w:before="258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experiences are demonstrably more effective in generating pro-environmental action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(fazio &amp; Zanna, 1981; Kollmuss &amp; agyeman, 2002).</w:t>
      </w:r>
    </w:p>
    <w:p>
      <w:pPr>
        <w:autoSpaceDN w:val="0"/>
        <w:autoSpaceDE w:val="0"/>
        <w:widowControl/>
        <w:spacing w:line="288" w:lineRule="exact" w:before="326" w:after="0"/>
        <w:ind w:left="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Board Games as Social Dilemma Simulations</w:t>
      </w:r>
    </w:p>
    <w:p>
      <w:pPr>
        <w:autoSpaceDN w:val="0"/>
        <w:autoSpaceDE w:val="0"/>
        <w:widowControl/>
        <w:spacing w:line="240" w:lineRule="exact" w:before="10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until recently, researchers assumed that people did not possess sufficient knowledge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about environmental problems and therefore also lacked the tools to circumvent them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– thus making knowledge provision a viable strategy for behavioral change (Schultz,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2002). although games are effective at increasing knowledge, this alone is seldom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enough to initiate pro-environmental behavior (abrahamse et al., 2007; frick et al.,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2004; Hines et al., 1987; Kollmuss &amp; agyeman, 2002; Staats et al., 1996). this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compounded by the finding that knowledge gained through traditional forms of learn-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ing, especially in situations where the motivation to learn stems from a fear of failure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(for example, studying for a test) also tends to be retained very rarely (Grolnick &amp;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Ryan, 1987; Lombardi, 2012). While a large quantity of available games are primarily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aimed at providing knowledge, some are also designed to situate the players in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social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dilemmas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– situations where the interests of the individual are in conflict with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interests of a group or collective (von Borgstede et al., 2013, p. 176). In a game-based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social dilemma, players are often forced to consider whether they wish to prioritize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their own gain and safety, or if they would rather act in the best interest of the player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group as a whole. the use of games to study human behavior in social dilemma situa-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tions has been conducted before, the most prominent example being an examination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how WORLD Of WaRCRaft players responded to a virtual plague that would wipe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out entire servers (Lofgren &amp; fefferman, 2007). the extent to which individuals care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about their own and others’ gains in a dilemma situation is known as their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social value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orientation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or SVO (Messick &amp; McClintock, 1968), and can roughly be divided into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individualistic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approach where a player tries to act alone with little to no communi-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cation with the group, a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cooperative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approach where the player tries to establish active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partnerships with other players and a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competitive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approach where the player’s empha-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sis is on defeating the other players (de Groot &amp; thøgersen, 2013, p. 143). Compared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games focusing on collaboration, games in which the players are encouraged to act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according to an individualistic or competitive SVO normally result in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zero-sum victo-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ries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, where there is only one clear winner (fennewald &amp; Kievit-Kylar, 2013).</w:t>
      </w:r>
    </w:p>
    <w:p>
      <w:pPr>
        <w:autoSpaceDN w:val="0"/>
        <w:autoSpaceDE w:val="0"/>
        <w:widowControl/>
        <w:spacing w:line="288" w:lineRule="exact" w:before="326" w:after="0"/>
        <w:ind w:left="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Methods</w:t>
      </w:r>
    </w:p>
    <w:p>
      <w:pPr>
        <w:autoSpaceDN w:val="0"/>
        <w:autoSpaceDE w:val="0"/>
        <w:widowControl/>
        <w:spacing w:line="240" w:lineRule="exact" w:before="10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previously stated, the purpose of this study is to examine how four commercially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available environment-themed board games can be used to generate environmental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awareness. the project follows a qualitative research design following the framework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thematic analysis proposed by Braun and Clarke (2006). Since the overarching idea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using board games in environmental education is relatively new, and due to how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board game nights took place while the respondents were together in a physical loca-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tion, exploratory focus groups as described by frey and Montana (1991) were utilized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during the information gathering stage.</w:t>
      </w:r>
    </w:p>
    <w:p>
      <w:pPr>
        <w:sectPr>
          <w:pgSz w:w="8640" w:h="12960"/>
          <w:pgMar w:top="304" w:right="888" w:bottom="630" w:left="838" w:header="720" w:footer="720" w:gutter="0"/>
          <w:cols w:space="720" w:num="1" w:equalWidth="0"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 xml:space="preserve">Fjællingsdal and Klöckner </w:t>
            </w:r>
          </w:p>
        </w:tc>
        <w:tc>
          <w:tcPr>
            <w:tcW w:type="dxa" w:w="2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637</w:t>
            </w:r>
          </w:p>
        </w:tc>
      </w:tr>
    </w:tbl>
    <w:p>
      <w:pPr>
        <w:autoSpaceDN w:val="0"/>
        <w:autoSpaceDE w:val="0"/>
        <w:widowControl/>
        <w:spacing w:line="280" w:lineRule="exact" w:before="316" w:after="0"/>
        <w:ind w:left="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>Recruitment and Sample</w:t>
      </w:r>
    </w:p>
    <w:p>
      <w:pPr>
        <w:autoSpaceDN w:val="0"/>
        <w:autoSpaceDE w:val="0"/>
        <w:widowControl/>
        <w:spacing w:line="240" w:lineRule="exact" w:before="10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Recruitment for the study was conducted through three facebook groups that were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evaluated by the lead researcher as thematically relevant for the research project.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Subsequent playtesting was arranged in two norwegian municipalities in the form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four board game nights where the respondents were given access to four board games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various environmental themes. Recruitment occurred through public facebook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events hosted by the lead researcher, where detailed information about the study pro-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cedure as well as ethical guidelines for anonymization and voluntary participation was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provided. 18 respondents in the age range of 20 to 39 years joined the gaming sessions,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which 17 (n=17) participated in post-gameplay focus group interviews. 12 (70.6%)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of the interviewed respondents were male, 5 (29.4%) were female. 11 (64.7%) respon-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dents were either in the process of obtaining or already had a degree in higher educa-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tion, defined here as a Ba degree or higher, and 2 (11.7%) of the informants additionally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listed themselves as members of pro-environmental organizations. Each informant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was given a codename, consisting of one letter (M or f) denoting their gender, and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number denoting their age (e.g. M35).</w:t>
      </w:r>
    </w:p>
    <w:p>
      <w:pPr>
        <w:autoSpaceDN w:val="0"/>
        <w:autoSpaceDE w:val="0"/>
        <w:widowControl/>
        <w:spacing w:line="280" w:lineRule="exact" w:before="334" w:after="0"/>
        <w:ind w:left="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>The Games</w:t>
      </w:r>
    </w:p>
    <w:p>
      <w:pPr>
        <w:autoSpaceDN w:val="0"/>
        <w:autoSpaceDE w:val="0"/>
        <w:widowControl/>
        <w:spacing w:line="240" w:lineRule="exact" w:before="10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although educators and game designers are often worlds apart in terms of their fields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of interest (Gunter et al., 2008), making interdisciplinary game development a poten-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tially frustrating and costly affair, a search for environmental board games did yield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results. Each of the games that were chosen for the research project were selected due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their innate connection to the topics of environment, climate and sustainability.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another selection criterion was that the games had to be in an analog format,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 into environmentally themed board games is scarce. for replication purposes,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games chosen for the project also needed to be commercially available or other-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wise obtainable for researchers wishing to conduct future research into the use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board games in generating environmental awareness. the games chosen for the study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were also largely developed as collaborative efforts between environmental educators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game designers, which is a deviation from games that are otherwise normally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developed exclusively in academic, governmental or non-governmental institutions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(Klöckner, 2015, p. 198). for each of the board game sessions, the participants were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asked to choose a game that they all wanted to play together.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this section will provide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 short description of the games that were used in the study, as it is necessary to under-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stand the basics of a game in order to also conceptualize how the respondents interact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with them (Waddington &amp; fennewald, 2018).</w:t>
      </w:r>
    </w:p>
    <w:p>
      <w:pPr>
        <w:autoSpaceDN w:val="0"/>
        <w:autoSpaceDE w:val="0"/>
        <w:widowControl/>
        <w:spacing w:line="280" w:lineRule="exact" w:before="334" w:after="0"/>
        <w:ind w:left="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>Game 1 – The SeTTleRS oF CATAn: oil SpRinGS</w:t>
      </w:r>
    </w:p>
    <w:p>
      <w:pPr>
        <w:autoSpaceDN w:val="0"/>
        <w:autoSpaceDE w:val="0"/>
        <w:widowControl/>
        <w:spacing w:line="240" w:lineRule="exact" w:before="106" w:after="0"/>
        <w:ind w:left="2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SEttLERS Of Catan, or simply Catan (teuber, 1995) is a hobby board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game (arnaudo, 2018, p. 196) revolving around building civilizations from natural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resources produced on the island of Catan. the player who is first to reach 10 points, </w:t>
      </w:r>
    </w:p>
    <w:p>
      <w:pPr>
        <w:sectPr>
          <w:pgSz w:w="8640" w:h="12960"/>
          <w:pgMar w:top="276" w:right="770" w:bottom="678" w:left="958" w:header="720" w:footer="720" w:gutter="0"/>
          <w:cols w:space="720" w:num="1" w:equalWidth="0"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7"/>
        <w:gridCol w:w="3457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638</w:t>
            </w:r>
          </w:p>
        </w:tc>
        <w:tc>
          <w:tcPr>
            <w:tcW w:type="dxa" w:w="43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Simulation &amp; Gaming 51(5)</w:t>
            </w:r>
          </w:p>
        </w:tc>
      </w:tr>
    </w:tbl>
    <w:p>
      <w:pPr>
        <w:autoSpaceDN w:val="0"/>
        <w:autoSpaceDE w:val="0"/>
        <w:widowControl/>
        <w:spacing w:line="240" w:lineRule="exact" w:before="258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achieved by building settlements and cities as well as having the longest road and big-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gest army, wins the game (Boardgamegeek.com, 2019a). In order to reach this goal,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players need to trade resources with each other. However, every trade the players com-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plete will help not only them, but also their opponent, quickly leading to a conflict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interest between diplomacy and self-interest (Salen &amp; Zimmerman, 2004, p. 388). Due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its long-standing popularity, Catan has become the subject of several fan-made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expansions, one of which is the OIL SpRInGS SCEnaRIO (assadourian &amp; Hansen,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2011) where oil is introduced as an additional resource and game mechanic. Oil can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make the players’ settlements grow faster and speed up their path to victory but can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also cause environmental damage and climate devastation if abused – resulting in 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players losing the game (Boardgamegeek.com, 2019b; Chappin et al., 2017; Lee,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2017). the OIL SpRInGS SCEnaRIO revolves around a mechanic where the players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who choose to utilize oil are more likely to achieve victory than players who refrain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using it (Lee, 2017), simultaneously risking the livelihood of the whole island.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as the game revolves around the use of oil as a powerful resource, we feel that it illus-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trates and simulates a relatively realistic scenario in which the players need to balance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their own personal and financial interests versus the interests of the player group as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whole. It is left to the players to decide if they wish to emphasize saving the island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Catan, or if a personal victory is more important (Chappin et al., 2017).</w:t>
      </w:r>
    </w:p>
    <w:p>
      <w:pPr>
        <w:autoSpaceDN w:val="0"/>
        <w:autoSpaceDE w:val="0"/>
        <w:widowControl/>
        <w:spacing w:line="278" w:lineRule="exact" w:before="334" w:after="0"/>
        <w:ind w:left="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>Game 2 – evoluTion: CliMATe</w:t>
      </w:r>
    </w:p>
    <w:p>
      <w:pPr>
        <w:autoSpaceDN w:val="0"/>
        <w:autoSpaceDE w:val="0"/>
        <w:widowControl/>
        <w:spacing w:line="240" w:lineRule="exact" w:before="108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EVOLutIOn (Crapuchettes, 2014) is a game where the players are set to adapt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evolve their own species in a changing ecosystem, taking on roles as carnivores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herbivores as well as developing new biological traits such as horns or hard shells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survive (Boardgamegeek.com, 2019c). the expansion pack, EVOLutIOn: CLIMatE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(Crapuchettes, 2016), introduces a climate component where the temperature in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game world can swing between extreme cold and extreme heat, which results in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deaths of species that are not adapted to survive in the current climate (Boardgamegeek.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com, 2019d).</w:t>
      </w:r>
    </w:p>
    <w:p>
      <w:pPr>
        <w:autoSpaceDN w:val="0"/>
        <w:autoSpaceDE w:val="0"/>
        <w:widowControl/>
        <w:spacing w:line="278" w:lineRule="exact" w:before="334" w:after="0"/>
        <w:ind w:left="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>Game 3 – GloBAl WARMinG</w:t>
      </w:r>
    </w:p>
    <w:p>
      <w:pPr>
        <w:autoSpaceDN w:val="0"/>
        <w:autoSpaceDE w:val="0"/>
        <w:widowControl/>
        <w:spacing w:line="240" w:lineRule="exact" w:before="108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GLOBaL WaRMInG (Bucak, 2011) is an educational card-based strategy game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where the players score “happiness points” by providing a variety of goods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public, which in turn influence the earth’s ecology (Boardgamegeek.com, 2019e).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order to provide these goods, oil needs to be gathered and used by placing oil rigs 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map. Eventually, the player who has obtained the highest amount of happiness points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wins the game, unless the players have collectively amassed too much pollution. If this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is the case, the player who has polluted the least is the winner (fennewald &amp; Kievit-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Kylar, 2013). the overall level of pollution as well as each individual player’s level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pollution is shown as separate markers on the game map, and if these markers move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past certain points, bad things will happen to the game’s ecology as well as the players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themselves (Boardgamegeek.com, 2019e).</w:t>
      </w:r>
    </w:p>
    <w:p>
      <w:pPr>
        <w:sectPr>
          <w:pgSz w:w="8640" w:h="12960"/>
          <w:pgMar w:top="304" w:right="888" w:bottom="630" w:left="838" w:header="720" w:footer="720" w:gutter="0"/>
          <w:cols w:space="720" w:num="1" w:equalWidth="0"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7"/>
        <w:gridCol w:w="3457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 xml:space="preserve">Fjællingsdal and Klöckner </w:t>
            </w:r>
          </w:p>
        </w:tc>
        <w:tc>
          <w:tcPr>
            <w:tcW w:type="dxa" w:w="2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639</w:t>
            </w:r>
          </w:p>
        </w:tc>
      </w:tr>
    </w:tbl>
    <w:p>
      <w:pPr>
        <w:autoSpaceDN w:val="0"/>
        <w:autoSpaceDE w:val="0"/>
        <w:widowControl/>
        <w:spacing w:line="280" w:lineRule="exact" w:before="316" w:after="0"/>
        <w:ind w:left="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>Game 4 – Keep Cool</w:t>
      </w:r>
    </w:p>
    <w:p>
      <w:pPr>
        <w:autoSpaceDN w:val="0"/>
        <w:autoSpaceDE w:val="0"/>
        <w:widowControl/>
        <w:spacing w:line="240" w:lineRule="exact" w:before="106" w:after="0"/>
        <w:ind w:left="2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KEEp COOL (Eisenack &amp; petschel-Held, 2004) is a climate negotiation game where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each player takes on the role of a country or nation with a unique set of economic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interests, goals and abilities (Boardgamegeek.com, 2019f). the actions required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players to reach these goals also result in greenhouse gases, and they all lose if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global temperature gets too high (fennewald &amp; Kievit-Kylar, 2013). the players need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decide each round if they want to implement climate protection measures, which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benefit all players, or if they would rather act in their own interest in order to reach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their own goal faster. the first player to reach their goal wins, but a complete lack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cooperation with the other players will result in global environmental collapse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(Boardgamegeek.com, 2019f).</w:t>
      </w:r>
    </w:p>
    <w:p>
      <w:pPr>
        <w:autoSpaceDN w:val="0"/>
        <w:autoSpaceDE w:val="0"/>
        <w:widowControl/>
        <w:spacing w:line="280" w:lineRule="exact" w:before="334" w:after="0"/>
        <w:ind w:left="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>Research protocol</w:t>
      </w:r>
    </w:p>
    <w:p>
      <w:pPr>
        <w:autoSpaceDN w:val="0"/>
        <w:autoSpaceDE w:val="0"/>
        <w:widowControl/>
        <w:spacing w:line="240" w:lineRule="exact" w:before="10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initialize the project, the lead researcher arranged board game nights through public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facebook events. Information about the project was provided in the event description,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whereas detailed guidelines regarding ethical concerns and the purpose of the research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were given to each respondent as a separate document through facebook’s Messenger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client. four board game nights were arranged across two norwegian municipalities,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where the respondents were observed by the lead researcher during gameplay. two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board game nights were filmed; the remaining two were voice recorded. Each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board game night was arranged as a tissue testing session, a procedure where the play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testers have never interacted with the game before (Schell, 2008, p. 394), and lasted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approximately 2 hours. Once the play session was concluded, the respondents were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organized into focus groups where the lead researcher asked them a series of open-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ended questions (table 1) about their experience with the game. the questions were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primarily asked in norwegian and repeated in English during sessions where non-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native speakers were present. Variations in the line of questioning did occur, depend-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ing on their relevance to the game that was being played. Respondents were also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encouraged to ask questions in return to the lead researcher in case they needed clari-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fications. the responses were recorded with voice recording hardware, and then tran-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scribed by the lead researcher. a total of 5 focus group interviews were conducted,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each session lasted between 30 and 60 minutes. One of the games, GLOBaL WaRMInG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(Bucak, 2011), was played twice using the same respondents.</w:t>
      </w:r>
    </w:p>
    <w:p>
      <w:pPr>
        <w:autoSpaceDN w:val="0"/>
        <w:autoSpaceDE w:val="0"/>
        <w:widowControl/>
        <w:spacing w:line="240" w:lineRule="exact" w:before="0" w:after="0"/>
        <w:ind w:left="2" w:right="0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resulting transcriptions were subjected to a qualitative thematic analysis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inspired by the framework provided by Braun and Clarke (2006). the lead researcher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repeatedly re-read the transcripts to get acquainted with the datasets, and made custom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notes in sections where the informants made statements of interest to the study. these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notes formed the basis for qualitative codes, which were clustered in an Excel docu-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ment and used to form thematic categories. During the subsequent thematic integra-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 procedure, certain subthemes were omitted due to low levels of occurrence in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datasets. Eventually, a total of two main themes with a total of four underlying sub-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themes were identified and incorporated into the final analysis.</w:t>
      </w:r>
    </w:p>
    <w:p>
      <w:pPr>
        <w:sectPr>
          <w:pgSz w:w="8640" w:h="12960"/>
          <w:pgMar w:top="276" w:right="768" w:bottom="678" w:left="958" w:header="720" w:footer="720" w:gutter="0"/>
          <w:cols w:space="720" w:num="1" w:equalWidth="0">
            <w:col w:w="6914" w:space="0"/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640</w:t>
            </w:r>
          </w:p>
        </w:tc>
        <w:tc>
          <w:tcPr>
            <w:tcW w:type="dxa" w:w="43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Simulation &amp; Gaming 51(5)</w:t>
            </w:r>
          </w:p>
        </w:tc>
      </w:tr>
    </w:tbl>
    <w:p>
      <w:pPr>
        <w:autoSpaceDN w:val="0"/>
        <w:autoSpaceDE w:val="0"/>
        <w:widowControl/>
        <w:spacing w:line="280" w:lineRule="exact" w:before="256" w:after="0"/>
        <w:ind w:left="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>ethical Guidelines</w:t>
      </w:r>
    </w:p>
    <w:p>
      <w:pPr>
        <w:autoSpaceDN w:val="0"/>
        <w:autoSpaceDE w:val="0"/>
        <w:widowControl/>
        <w:spacing w:line="240" w:lineRule="exact" w:before="10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project has been registered at the norwegian Center for Research Data (nSD).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Each participant in the project was provided a draft of the article, and a 14-day dead-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line to provide constructive feedback on its contents to ensure the validity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findings.</w:t>
      </w:r>
    </w:p>
    <w:p>
      <w:pPr>
        <w:autoSpaceDN w:val="0"/>
        <w:autoSpaceDE w:val="0"/>
        <w:widowControl/>
        <w:spacing w:line="288" w:lineRule="exact" w:before="328" w:after="0"/>
        <w:ind w:left="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Results</w:t>
      </w:r>
    </w:p>
    <w:p>
      <w:pPr>
        <w:autoSpaceDN w:val="0"/>
        <w:autoSpaceDE w:val="0"/>
        <w:widowControl/>
        <w:spacing w:line="280" w:lineRule="exact" w:before="118" w:after="0"/>
        <w:ind w:left="2" w:right="144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 xml:space="preserve">Main Theme 1 - environmental Board Games as Simplified </w:t>
      </w:r>
      <w:r>
        <w:rPr>
          <w:rFonts w:ascii="GillSansMTPro" w:hAnsi="GillSansMTPro" w:eastAsia="GillSansMTPro"/>
          <w:b w:val="0"/>
          <w:i/>
          <w:color w:val="221F1F"/>
          <w:sz w:val="24"/>
        </w:rPr>
        <w:t>environmental Simulations</w:t>
      </w:r>
    </w:p>
    <w:p>
      <w:pPr>
        <w:autoSpaceDN w:val="0"/>
        <w:autoSpaceDE w:val="0"/>
        <w:widowControl/>
        <w:spacing w:line="240" w:lineRule="exact" w:before="10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first main theme that was uncovered during our analysis revolves around board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games as innovative and simplified portrayals of complex environmental issues. two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subthemes emerged from the datasets – 1) Board games as simplified scientific com-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munication about the environment, and 2) Board games as micro-level environmental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simulators.</w:t>
      </w:r>
    </w:p>
    <w:p>
      <w:pPr>
        <w:autoSpaceDN w:val="0"/>
        <w:autoSpaceDE w:val="0"/>
        <w:widowControl/>
        <w:spacing w:line="240" w:lineRule="exact" w:before="244" w:after="0"/>
        <w:ind w:left="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0"/>
        </w:rPr>
        <w:t>Subtheme 1 - Board games as simplified scientific communication about the environ-</w:t>
      </w:r>
      <w:r>
        <w:rPr>
          <w:rFonts w:ascii="GillSansMTPro" w:hAnsi="GillSansMTPro" w:eastAsia="GillSansMTPro"/>
          <w:b w:val="0"/>
          <w:i/>
          <w:color w:val="221F1F"/>
          <w:sz w:val="20"/>
        </w:rPr>
        <w:t xml:space="preserve">ment.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Board games are theorized to be capable of simplifying the complexity of envi-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ronmental issues (Schulze et al., 2015), thus making them more accessible for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general public. During our focus groups, several respondents noted that the games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represented an intriguing and simplified alternative to overcomplicated science com-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munication. M35 (SEttLERS Of Catan: OIL SpRInGS) commented on the mis-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communication between scientists and laypeople:</w:t>
      </w:r>
    </w:p>
    <w:p>
      <w:pPr>
        <w:autoSpaceDN w:val="0"/>
        <w:autoSpaceDE w:val="0"/>
        <w:widowControl/>
        <w:spacing w:line="220" w:lineRule="exact" w:before="236" w:after="0"/>
        <w:ind w:left="242" w:right="264" w:firstLine="0"/>
        <w:jc w:val="both"/>
      </w:pP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“Researchers have been warning us about climate change for several decades but nobody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listens to them, which might have something to do with the language they use. (. . .) and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they haven’t understood that. they present their facts and are stuck in the thought pattern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that they are talking to their colleagues.”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(M35, SEttLERS Of Catan: OIL SpRInGS)</w:t>
      </w:r>
    </w:p>
    <w:p>
      <w:pPr>
        <w:autoSpaceDN w:val="0"/>
        <w:autoSpaceDE w:val="0"/>
        <w:widowControl/>
        <w:spacing w:line="240" w:lineRule="exact" w:before="244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f25 (GLOBaL WaRMInG) would later run a qualitative comparison between her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gameplay session and a traditional lecture, also highlighting her perception of scien-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tific language as overly complex:</w:t>
      </w:r>
    </w:p>
    <w:p>
      <w:pPr>
        <w:autoSpaceDN w:val="0"/>
        <w:autoSpaceDE w:val="0"/>
        <w:widowControl/>
        <w:spacing w:line="220" w:lineRule="exact" w:before="236" w:after="0"/>
        <w:ind w:left="242" w:right="264" w:firstLine="0"/>
        <w:jc w:val="both"/>
      </w:pP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“I’m struggling with aDD and asperger, so to sit still and listen to a teacher for 45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minutes, I. . . just disconnect after 5 to 10 minutes. (. . .) But something like this. . 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you’re sitting here, doing things, and you learn so much more at once.”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(f25, GLOBaL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WaRMInG)</w:t>
      </w:r>
    </w:p>
    <w:p>
      <w:pPr>
        <w:autoSpaceDN w:val="0"/>
        <w:autoSpaceDE w:val="0"/>
        <w:widowControl/>
        <w:spacing w:line="240" w:lineRule="exact" w:before="244" w:after="0"/>
        <w:ind w:left="2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M25 (GLOBaL WaRMInG) supports the aforementioned statements by additionally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critiquing traditional media for what he perceives as unappealing coverage of climate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change issues. He adds:</w:t>
      </w:r>
    </w:p>
    <w:p>
      <w:pPr>
        <w:sectPr>
          <w:pgSz w:w="8640" w:h="12960"/>
          <w:pgMar w:top="304" w:right="890" w:bottom="898" w:left="838" w:header="720" w:footer="720" w:gutter="0"/>
          <w:cols w:space="720" w:num="1" w:equalWidth="0">
            <w:col w:w="6912" w:space="0"/>
            <w:col w:w="6914" w:space="0"/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 xml:space="preserve">Fjællingsdal and Klöckner </w:t>
            </w:r>
          </w:p>
        </w:tc>
        <w:tc>
          <w:tcPr>
            <w:tcW w:type="dxa" w:w="2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641</w:t>
            </w:r>
          </w:p>
        </w:tc>
      </w:tr>
    </w:tbl>
    <w:p>
      <w:pPr>
        <w:autoSpaceDN w:val="0"/>
        <w:autoSpaceDE w:val="0"/>
        <w:widowControl/>
        <w:spacing w:line="220" w:lineRule="exact" w:before="320" w:after="0"/>
        <w:ind w:left="242" w:right="266" w:firstLine="0"/>
        <w:jc w:val="both"/>
      </w:pP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“If you’re looking at an online newspaper or something, it says ‘watch the climate’ or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something and you try reading it. . . it doesn’t really stick. (. . .) this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[the game]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is simple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enough that most people can comprehend it. But at the same time it shows enough for us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to be able to understand it.”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(M25, GLOBaL WaRMInG)</w:t>
      </w:r>
    </w:p>
    <w:p>
      <w:pPr>
        <w:autoSpaceDN w:val="0"/>
        <w:autoSpaceDE w:val="0"/>
        <w:widowControl/>
        <w:spacing w:line="240" w:lineRule="exact" w:before="244" w:after="0"/>
        <w:ind w:left="2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these remarks demonstrate that scientific language is difficult for laypeople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understand (fischhoff, 2007), and that new methods of communicating climate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change are required (Despeisse, 2018; Stanitsas et al., 2019; Stoknes, 2017). they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also illustrate that board games can be effective at simplifying climate change issues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making them more salient than more conventional communication channels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(Schulze et al., 2015).</w:t>
      </w:r>
    </w:p>
    <w:p>
      <w:pPr>
        <w:autoSpaceDN w:val="0"/>
        <w:autoSpaceDE w:val="0"/>
        <w:widowControl/>
        <w:spacing w:line="240" w:lineRule="exact" w:before="244" w:after="0"/>
        <w:ind w:left="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0"/>
        </w:rPr>
        <w:t xml:space="preserve">Subtheme 2 - Board games as micro-level environmental simulators.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full extent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environmental issues is complex (Despeisse, 2018; Kollmuss &amp; agyeman, 2002),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often intangible (Hansen &amp; Machin, 2013; Kollmuss &amp; agyeman, 2002) and difficult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conceptualize. these perceived complexities and vagueness (Vatne, 2013, p. 43)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likely represent significant barriers towards pro-environmental behavior. In order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make environmental issues more salient and understandable, innovative and illustra-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tive approaches are warranted (Stoknes, 2017). It is theorized that educational games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might contribute to this issue by portraying reality in a highly concentrated and simpli-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fied manner (abt, 1987, p. 21). Games function as microworlds, little sequences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participatory simulations depicting some aspect of reality, where the player is included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an actor with a clear responsibility and impact (Egenfeldt-nielsen et al., 2013, p.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237). In our study, the respondents did appear to experience the illustrative power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board game microworlds. M28 (KEEp COOL) notes how effective KEEp COOL is 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simulating the complexities of intergovernmental climate debates and decision-mak-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ing: “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If you were to translate this game into the real world, then this is on a very high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level. It’s like countries and continents we’re talking about.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” In a similar vein, f25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(SEttLERS Of Catan: OIL SpRInGS) and M25 (GLOBaL WaRMInG) point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how board games are capable of depicting complex systems in general:</w:t>
      </w:r>
    </w:p>
    <w:p>
      <w:pPr>
        <w:autoSpaceDN w:val="0"/>
        <w:autoSpaceDE w:val="0"/>
        <w:widowControl/>
        <w:spacing w:line="220" w:lineRule="exact" w:before="236" w:after="0"/>
        <w:ind w:left="242" w:right="264" w:firstLine="0"/>
        <w:jc w:val="both"/>
      </w:pPr>
      <w:r>
        <w:rPr>
          <w:rFonts w:ascii="TimesNewRomanPS" w:hAnsi="TimesNewRomanPS" w:eastAsia="TimesNewRomanPS"/>
          <w:b w:val="0"/>
          <w:i/>
          <w:color w:val="221F1F"/>
          <w:sz w:val="18"/>
        </w:rPr>
        <w:t>“It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[the game]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took a very big subject and gave it a small, concrete picture of it all, like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you can explain the entire world with a small game. and then there’s a lot of stuff you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know from before, except you get it in a more concrete form right in front of you – “oh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shit, that’s going to affect this and that.”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(f25, SEttLERS Of Catan: OIL SpRInGS)</w:t>
      </w:r>
    </w:p>
    <w:p>
      <w:pPr>
        <w:autoSpaceDN w:val="0"/>
        <w:autoSpaceDE w:val="0"/>
        <w:widowControl/>
        <w:spacing w:line="220" w:lineRule="exact" w:before="240" w:after="0"/>
        <w:ind w:left="242" w:right="264" w:firstLine="0"/>
        <w:jc w:val="both"/>
      </w:pP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“here in norway we try to think about the environment, but there are other countries in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the world that are both better and worse than us in terms of environmental consciousness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too. So it puts things into perspective when you have it right in front of you, and you can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affect it yourself.”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(M25, GLOBaL WaRMInG)</w:t>
      </w:r>
    </w:p>
    <w:p>
      <w:pPr>
        <w:autoSpaceDN w:val="0"/>
        <w:autoSpaceDE w:val="0"/>
        <w:widowControl/>
        <w:spacing w:line="240" w:lineRule="exact" w:before="244" w:after="0"/>
        <w:ind w:left="2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Intriguingly, the respondents are also implying that the board game helped make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connection between their own actions and impacts on the game board more salient –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thus suggesting that board games can be a step towards deconstructing climate change </w:t>
      </w:r>
    </w:p>
    <w:p>
      <w:pPr>
        <w:sectPr>
          <w:pgSz w:w="8640" w:h="12960"/>
          <w:pgMar w:top="276" w:right="770" w:bottom="746" w:left="958" w:header="720" w:footer="720" w:gutter="0"/>
          <w:cols w:space="720" w:num="1" w:equalWidth="0">
            <w:col w:w="6912" w:space="0"/>
            <w:col w:w="6912" w:space="0"/>
            <w:col w:w="6914" w:space="0"/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642</w:t>
            </w:r>
          </w:p>
        </w:tc>
        <w:tc>
          <w:tcPr>
            <w:tcW w:type="dxa" w:w="43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Simulation &amp; Gaming 51(5)</w:t>
            </w:r>
          </w:p>
        </w:tc>
      </w:tr>
    </w:tbl>
    <w:p>
      <w:pPr>
        <w:autoSpaceDN w:val="0"/>
        <w:autoSpaceDE w:val="0"/>
        <w:widowControl/>
        <w:spacing w:line="240" w:lineRule="exact" w:before="258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an invisible entity (Hansen &amp; Machin, 2013) – by showcasing the direct link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between one’s personal actions and impact within a game-based safety net.</w:t>
      </w:r>
    </w:p>
    <w:p>
      <w:pPr>
        <w:autoSpaceDN w:val="0"/>
        <w:autoSpaceDE w:val="0"/>
        <w:widowControl/>
        <w:spacing w:line="278" w:lineRule="exact" w:before="334" w:after="0"/>
        <w:ind w:left="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>Main Theme 2 – individual impact and Resource Distribution</w:t>
      </w:r>
    </w:p>
    <w:p>
      <w:pPr>
        <w:autoSpaceDN w:val="0"/>
        <w:autoSpaceDE w:val="0"/>
        <w:widowControl/>
        <w:spacing w:line="240" w:lineRule="exact" w:before="108" w:after="0"/>
        <w:ind w:left="2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second main theme that was uncovered during our analysis revolves around how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players perceived the game-based visualization aspect of their own implemented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strategies and personal impact on the gameplay sessions. additionally, the players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would also reflect upon their strategies for distributing resources between themselves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the group as a whole. two subthemes emerged from the datasets – 1) Visualizing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individual eco-impacts, and 2) personal gain vs. the common good.</w:t>
      </w:r>
    </w:p>
    <w:p>
      <w:pPr>
        <w:autoSpaceDN w:val="0"/>
        <w:autoSpaceDE w:val="0"/>
        <w:widowControl/>
        <w:spacing w:line="240" w:lineRule="exact" w:before="244" w:after="0"/>
        <w:ind w:left="2" w:right="20" w:firstLine="0"/>
        <w:jc w:val="both"/>
      </w:pPr>
      <w:r>
        <w:rPr>
          <w:rFonts w:ascii="GillSansMTPro" w:hAnsi="GillSansMTPro" w:eastAsia="GillSansMTPro"/>
          <w:b w:val="0"/>
          <w:i/>
          <w:color w:val="221F1F"/>
          <w:sz w:val="20"/>
        </w:rPr>
        <w:t xml:space="preserve">Subtheme 1 - visualizing individual eco-impacts.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Games center their players in a context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where they learn through their own actions and presence in the game world (foltz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et al., 2019) rather than passively absorbing and abstracting information from books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lectures. During our focus group interviews, several of the respondents mentioned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either that they had already seen the effects their actions had on the game board,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they expressed a desire to get to a point in the game where they could. When asked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about whether playing the game inspires him to counteract environmental issues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any way, M22 (KEEp COOL) notes that “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you think about it more. Because when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you’re actively doing something in a good session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[of a game],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it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[the game’s theme]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goes through your head all the time.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” M35 (SEttLERS Of Catan: OIL SpRInGS)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also became occupied with the game’s ability to show direct cause and effect. He states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that “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the time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[in the game]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is compacted. I did this fifteen minutes ago, and now I’m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screwed up over there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”, referring to how his actions on the board led to some clearly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visible disastrous changes in his dominance in the game a short while later.</w:t>
      </w:r>
    </w:p>
    <w:p>
      <w:pPr>
        <w:autoSpaceDN w:val="0"/>
        <w:autoSpaceDE w:val="0"/>
        <w:widowControl/>
        <w:spacing w:line="240" w:lineRule="exact" w:before="0" w:after="0"/>
        <w:ind w:left="2" w:right="2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Intriguingly, in some cases it also appeared that the visual elements in the game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served to steer the players’ in-game behaviors. In the game GLOBaL WaRMInG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(Bucak, 2011) for instance, a set of train miniatures illustrate the carbon emissions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each individual player, while one train is designed to represent the total amount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carbon emission by all players. f25 (GLOBaL WaRMInG) would comment on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presence of these trains, stating:</w:t>
      </w:r>
    </w:p>
    <w:p>
      <w:pPr>
        <w:autoSpaceDN w:val="0"/>
        <w:autoSpaceDE w:val="0"/>
        <w:widowControl/>
        <w:spacing w:line="220" w:lineRule="exact" w:before="236" w:after="0"/>
        <w:ind w:left="242" w:right="144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“for me it was these trains, that show. . . okay, it’s fine that you can buy oil and move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rigs and stuff, but. . . they were like, okay, if I do this now then the global warming will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go way up. So if the trains hadn’t been there it’d just be like, eh, I’ll do what I want.”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(f25, GLOBaL WaRMInG)</w:t>
      </w:r>
    </w:p>
    <w:p>
      <w:pPr>
        <w:autoSpaceDN w:val="0"/>
        <w:autoSpaceDE w:val="0"/>
        <w:widowControl/>
        <w:spacing w:line="222" w:lineRule="exact" w:before="262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M25 (GLOBaL WaRMInG) added:</w:t>
      </w:r>
    </w:p>
    <w:p>
      <w:pPr>
        <w:autoSpaceDN w:val="0"/>
        <w:autoSpaceDE w:val="0"/>
        <w:widowControl/>
        <w:spacing w:line="220" w:lineRule="exact" w:before="236" w:after="0"/>
        <w:ind w:left="242" w:right="264" w:firstLine="0"/>
        <w:jc w:val="both"/>
      </w:pP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“We can’t just think about ourselves – we need to think about the fellowship. I have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contributed little to pollution, but you need to look at the others too.”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(M25, GLOBaL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WaRMInG)</w:t>
      </w:r>
    </w:p>
    <w:p>
      <w:pPr>
        <w:sectPr>
          <w:pgSz w:w="8640" w:h="12960"/>
          <w:pgMar w:top="304" w:right="890" w:bottom="820" w:left="838" w:header="720" w:footer="720" w:gutter="0"/>
          <w:cols w:space="720" w:num="1" w:equalWidth="0">
            <w:col w:w="6912" w:space="0"/>
            <w:col w:w="6912" w:space="0"/>
            <w:col w:w="6912" w:space="0"/>
            <w:col w:w="6914" w:space="0"/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7"/>
        <w:gridCol w:w="3457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 xml:space="preserve">Fjællingsdal and Klöckner </w:t>
            </w:r>
          </w:p>
        </w:tc>
        <w:tc>
          <w:tcPr>
            <w:tcW w:type="dxa" w:w="2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643</w:t>
            </w:r>
          </w:p>
        </w:tc>
      </w:tr>
    </w:tbl>
    <w:p>
      <w:pPr>
        <w:autoSpaceDN w:val="0"/>
        <w:autoSpaceDE w:val="0"/>
        <w:widowControl/>
        <w:spacing w:line="240" w:lineRule="exact" w:before="318" w:after="0"/>
        <w:ind w:left="2" w:right="0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these players had all encountered situations where they had performed an in-game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move that later had salient effects. In cases where these occurrences were absent from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gameplay sessions, the respondents expressed frustration and disappointment that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they never got to experience them. One likely explanation for this is that games essen-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tially provide a safe arena where failure to achieve a goal or prevent a disaster keeps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game fun (McGonigal, 2011, p. 68). a game where the possibility of failure is at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minimum can quickly become boring. During the session with EVOLutIOn: CLIMatE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(Crapuchettes, 2016), the interviewer observed that none of the players’ in-game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actions resulted in any serious climate change-related issues. When confronted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this during the focus group interview, f21 stated that she “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wanted to get there, just to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see what happened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” with nods and sounds of agreement from the rest of her 5 fellow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players, suggesting an innate curiosity in experiencing an in-game climate change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disaster within the safe confines of the game.</w:t>
      </w:r>
    </w:p>
    <w:p>
      <w:pPr>
        <w:autoSpaceDN w:val="0"/>
        <w:autoSpaceDE w:val="0"/>
        <w:widowControl/>
        <w:spacing w:line="240" w:lineRule="exact" w:before="244" w:after="0"/>
        <w:ind w:left="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0"/>
        </w:rPr>
        <w:t xml:space="preserve">Subtheme 2 - personal gain vs. the common good.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large number of environmental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games on the market today revolve around the concept of zero-sum victories, where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only one person wins and the others lose (fennewald &amp; Kievit-Kylar, 2013). these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types of games normally feature mechanics that in some way allow the players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attack and weaken one another, such as by damaging other players or otherwise imped-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ing their progress in the game (Boardgamegeek.com, 2019g). By contrast, very few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environmental games revolve around cooperation and collaboration in order to achieve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 common goal. the games used in our study appear to largely reflect this trend, pri-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marily due to what the respondents identify as a lack of incentives for in-game pro-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environmental behavior. this imbalance made it excessively tempting for many of our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respondents to exclusively utilize unsustainable resources in order to beat the others,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thus falling into the SVO pattern of individualistic or competitive tendencies (de Groot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&amp; thøgersen, 2013, p. 143). f25 (SEttLERS Of Catan: OIL SpRInGS) attempted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to “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not use any oil; just stay on the straight and narrow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”, but once she realized that she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was in last place she admitted to feeling tempted to follow their example: “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 really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wanted to [use oil], because it went so damn slowly! I do have two houses there on the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board though. . 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”. One of her co-players then noted that the risk of refusing to use oil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did not justify the potential rewards:</w:t>
      </w:r>
    </w:p>
    <w:p>
      <w:pPr>
        <w:autoSpaceDN w:val="0"/>
        <w:autoSpaceDE w:val="0"/>
        <w:widowControl/>
        <w:spacing w:line="220" w:lineRule="exact" w:before="236" w:after="0"/>
        <w:ind w:left="242" w:right="266" w:firstLine="0"/>
        <w:jc w:val="both"/>
      </w:pP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“I don’t see any reason not to use the oil here. If the disaster hits all of us with an equal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percentage of probability, and you’ll only win by using oil, then of course you’ll use a lot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of oil in the beginning – until there are dangerous levels of pollution, that is. So even if you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get a few points for being green, I don’t believe you’ll win when the oil is so strong. and I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guess that’s kind of how it is in reality too – that the profits are simply too big in comparison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to what you get for being green.”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(M22, SEttLERS Of Catan: OIL SpRInGS)</w:t>
      </w:r>
    </w:p>
    <w:p>
      <w:pPr>
        <w:autoSpaceDN w:val="0"/>
        <w:autoSpaceDE w:val="0"/>
        <w:widowControl/>
        <w:spacing w:line="240" w:lineRule="exact" w:before="244" w:after="0"/>
        <w:ind w:left="2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similar tendency occurred during the KEEp COOL (Eisenack &amp; petschel-Held, 2004)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play session. unlike the other games we tested, KEEp COOL explicitly states that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relationship between personal gain and climate protection for everyone is one of the </w:t>
      </w:r>
    </w:p>
    <w:p>
      <w:pPr>
        <w:sectPr>
          <w:pgSz w:w="8640" w:h="12960"/>
          <w:pgMar w:top="276" w:right="768" w:bottom="810" w:left="958" w:header="720" w:footer="720" w:gutter="0"/>
          <w:cols w:space="720" w:num="1" w:equalWidth="0">
            <w:col w:w="6914" w:space="0"/>
            <w:col w:w="6912" w:space="0"/>
            <w:col w:w="6912" w:space="0"/>
            <w:col w:w="6912" w:space="0"/>
            <w:col w:w="6914" w:space="0"/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644</w:t>
            </w:r>
          </w:p>
        </w:tc>
        <w:tc>
          <w:tcPr>
            <w:tcW w:type="dxa" w:w="43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Simulation &amp; Gaming 51(5)</w:t>
            </w:r>
          </w:p>
        </w:tc>
      </w:tr>
    </w:tbl>
    <w:p>
      <w:pPr>
        <w:autoSpaceDN w:val="0"/>
        <w:autoSpaceDE w:val="0"/>
        <w:widowControl/>
        <w:spacing w:line="240" w:lineRule="exact" w:before="258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main topics the game seeks to address (Boardgamegeek.com, 2019f). One of the require-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ments to win a round of KEEp COOL involves achieving a certain number of factories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 the board, and these come in either black or green variants. Black factories represent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greenhouse gas-emitting energy production, while green factories represent low-emis-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sion technologies. Removing black factories in favor of green ones is a core gameplay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mechanic in KEEp COOL (Eisenack, 2012). One of the respondents, M28 (KEEp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COOL), signified that the group had understood this: “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the more the climate is stressed,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the harder it can hit us. So the game makes you think to build more green factories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”.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Despite this, the group overall appeared to prioritize building black factories due to their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lower cost. M22 (KEEp COOL) comments: “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I went for the black ones! they were cheap-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est.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” M28 (KEEp COOL) responds that he prioritized green factories, due to how it was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one of his explicit requirements to win: “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It was one of my goals, but I also thought that I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don’t want the carbometer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[an in-game element designed to measure the greenhouse gas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emissions caused by the players and natural processes in the game (Eisenack, 2012)]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to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go any higher now.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” In a similar vein to the KEEp COOL and the SEttLERS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Catan: OIL SpRInGS play sessions, the value of renewable energy appears to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overshadowed by the cheaper and more powerful non-renewable energy sources.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additionally, due to their overall emphasis on zero-sum wins (fennewald &amp; Kievit-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Kylar, 2013), the level of cooperation between the players appears to be rather low.</w:t>
      </w:r>
    </w:p>
    <w:p>
      <w:pPr>
        <w:autoSpaceDN w:val="0"/>
        <w:autoSpaceDE w:val="0"/>
        <w:widowControl/>
        <w:spacing w:line="288" w:lineRule="exact" w:before="326" w:after="0"/>
        <w:ind w:left="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Discussion</w:t>
      </w:r>
    </w:p>
    <w:p>
      <w:pPr>
        <w:autoSpaceDN w:val="0"/>
        <w:autoSpaceDE w:val="0"/>
        <w:widowControl/>
        <w:spacing w:line="240" w:lineRule="exact" w:before="10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Scientific communication about the complexity of environmental issues has largely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been dominated by vague explanatory models (Vatne, 2013, p. 43) and overly advanced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scientific language (fischhoff, 2007; Hassol, 2008). Researchers are calling for more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accessible forms of scientific communication about the environment (Klöckner, 2015;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Stoknes, 2017), and board games represent an innovative approach to this call.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purpose of our research was to examine how four commercially available environ-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ment-themed board games can be instrumental in generating environmental aware-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ness. Our results first and foremost show that board games are capable of simplifying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 overly complex system of interconnected environmental issues that is normally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presented by scientists in a way that laypeople have great difficulties understanding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(e.g fischhoff, 2007; Hassol, 2008; Stoknes, 2017). they did this by engaging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players in microworlds (Egenfeldt-nielsen et al., 2013, p. 237) with visual and interac-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tive elements that simulate the real world, allowing players to carry out roles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actions that have a noticeable impact on the in-game environment (as described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arnaudo, 2018, p. 27). Being able to visualize and experience environmental issues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within the safe confines of the game is a unique way to immerse learners into the sub-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ject of environmental literacy, and might even represent a possible solution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problem of environmental issues being perceived as non-salient (Hansen &amp; Machin,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2013; Klöckner, 2015, p. 63; tversky &amp; Kahneman, 1973, 1974).</w:t>
      </w:r>
    </w:p>
    <w:p>
      <w:pPr>
        <w:autoSpaceDN w:val="0"/>
        <w:autoSpaceDE w:val="0"/>
        <w:widowControl/>
        <w:spacing w:line="240" w:lineRule="exact" w:before="0" w:after="0"/>
        <w:ind w:left="2" w:right="0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second important finding in our study revolved around how players perceived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visual representation of their personal impact on the game session, as well as their </w:t>
      </w:r>
    </w:p>
    <w:p>
      <w:pPr>
        <w:sectPr>
          <w:pgSz w:w="8640" w:h="12960"/>
          <w:pgMar w:top="304" w:right="890" w:bottom="750" w:left="838" w:header="720" w:footer="720" w:gutter="0"/>
          <w:cols w:space="720" w:num="1" w:equalWidth="0">
            <w:col w:w="6912" w:space="0"/>
            <w:col w:w="6914" w:space="0"/>
            <w:col w:w="6912" w:space="0"/>
            <w:col w:w="6912" w:space="0"/>
            <w:col w:w="6912" w:space="0"/>
            <w:col w:w="6914" w:space="0"/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 xml:space="preserve">Fjællingsdal and Klöckner </w:t>
            </w:r>
          </w:p>
        </w:tc>
        <w:tc>
          <w:tcPr>
            <w:tcW w:type="dxa" w:w="2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645</w:t>
            </w:r>
          </w:p>
        </w:tc>
      </w:tr>
    </w:tbl>
    <w:p>
      <w:pPr>
        <w:autoSpaceDN w:val="0"/>
        <w:autoSpaceDE w:val="0"/>
        <w:widowControl/>
        <w:spacing w:line="240" w:lineRule="exact" w:before="318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varying emphasis on resource hoarding versus resource distribution. firstly, board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games were indeed shown to highlight and emphasize the interactions between each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individual player and their impact on the flow of the game by situating them in fic-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tional worlds (foltz et al., 2019). additionally, the players did occasionally experiment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other roles, personalities and identities than the ones they normally exhibit in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real-life setting (arnaudo, 2018, p. 27) as long as the game provided an arena for it.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a researcher’s perspective, environmental board games can also be utilized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illustrate how players display different SVOs (de Groot &amp; thøgersen, 2013, p. 143;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Messick &amp; McClintock, 1968) in social dilemma situations. Some of the players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experiment exhibited highly individualistic or competitive SVOs, whereas others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tried to collaborate and contribute to the common good. Some of the players even took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 an active role where their expressed goal was to experience what would happen if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environment collapsed in the game. this suggests an innate desire to experience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what previous research describes as alternate future realities (Barreteau et al., 2007;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Wu &amp; Lee, 2015), while simultaneously enjoying the benefits of the relative safety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real world (García-Barros et al., 2015).</w:t>
      </w:r>
    </w:p>
    <w:p>
      <w:pPr>
        <w:autoSpaceDN w:val="0"/>
        <w:autoSpaceDE w:val="0"/>
        <w:widowControl/>
        <w:spacing w:line="240" w:lineRule="exact" w:before="0" w:after="0"/>
        <w:ind w:left="2" w:right="0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Board games are also interesting in the sense that they both allow and encourage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social interaction between the players in a physical, real-life setting. While congre-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gated in such a way, board games can serve as an enabler for discussion, as well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directing the players’ attention to what is happening on the game board – thus ensuring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closer relationship between the player and what the game seeks to teach. for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environmental sciences, considering the complexity and interconnectedness of its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many underlying facets (Despeisse, 2018; Kollmuss &amp; agyeman, 2002), the use of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visual representation tool allowing for social dialogue and requiring intensive atten-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 in order to function is likely to encourage learning that can be retained on a higher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level than traditional learning methods (Dieleman &amp; Huisingh, 2006; Kolb, 1984;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Krathwohl, 2002, p. 214) – especially for learners who might be experiencing prob-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lems conceptualizing the abstract contents of a book or a lecture.</w:t>
      </w:r>
    </w:p>
    <w:p>
      <w:pPr>
        <w:autoSpaceDN w:val="0"/>
        <w:autoSpaceDE w:val="0"/>
        <w:widowControl/>
        <w:spacing w:line="240" w:lineRule="exact" w:before="0" w:after="0"/>
        <w:ind w:left="2" w:right="0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It should be noted that there was a degree of variation between the selected games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terms of their ability to produce some form of learning outcome. a likely explanation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this discrepancy can be attributed to the degree of emphasis that the game places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 environmental mechanics. KEEp COOL (Eisenack &amp; petschel-Held, 2004),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instance, integrates them directly into its core design, whereas EVOLutIOn: CLIMatE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(Crapuchettes, 2016) features the environmental aspect only as an expansion feature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its base game. this is hardly surprising, as the main emphasis when creating most com-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mercial games is that they need to be appealing to interact and play with to ensure sales,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meaning that the educational aspect is often underemphasized. also, due to the different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topics brought up by the games, the nature of the learning outcomes also varied consider-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ably. all of the games we tested dealt with climate change and environmental issues 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very holistic and general level and did not explicitly provide advice to the players 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how to circumvent similar issues in a real-life setting. However, aside from EVOLutIOn: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CLIMatE where the environmental aspect turned out to be rather shallow, the games all </w:t>
      </w:r>
    </w:p>
    <w:p>
      <w:pPr>
        <w:sectPr>
          <w:pgSz w:w="8640" w:h="12960"/>
          <w:pgMar w:top="276" w:right="770" w:bottom="870" w:left="958" w:header="720" w:footer="720" w:gutter="0"/>
          <w:cols w:space="720" w:num="1" w:equalWidth="0">
            <w:col w:w="6912" w:space="0"/>
            <w:col w:w="6912" w:space="0"/>
            <w:col w:w="6914" w:space="0"/>
            <w:col w:w="6912" w:space="0"/>
            <w:col w:w="6912" w:space="0"/>
            <w:col w:w="6912" w:space="0"/>
            <w:col w:w="6914" w:space="0"/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7"/>
        <w:gridCol w:w="3457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646</w:t>
            </w:r>
          </w:p>
        </w:tc>
        <w:tc>
          <w:tcPr>
            <w:tcW w:type="dxa" w:w="43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Simulation &amp; Gaming 51(5)</w:t>
            </w:r>
          </w:p>
        </w:tc>
      </w:tr>
    </w:tbl>
    <w:p>
      <w:pPr>
        <w:autoSpaceDN w:val="0"/>
        <w:autoSpaceDE w:val="0"/>
        <w:widowControl/>
        <w:spacing w:line="240" w:lineRule="exact" w:before="258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functioned as simplified environmental simulations. they were also capable of illumi-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nating the links between the players’ actions and their impact on the environment,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although the respondents noted that the topic was not new to them.</w:t>
      </w:r>
    </w:p>
    <w:p>
      <w:pPr>
        <w:autoSpaceDN w:val="0"/>
        <w:autoSpaceDE w:val="0"/>
        <w:widowControl/>
        <w:spacing w:line="288" w:lineRule="exact" w:before="326" w:after="0"/>
        <w:ind w:left="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Conclusion</w:t>
      </w:r>
    </w:p>
    <w:p>
      <w:pPr>
        <w:autoSpaceDN w:val="0"/>
        <w:autoSpaceDE w:val="0"/>
        <w:widowControl/>
        <w:spacing w:line="240" w:lineRule="exact" w:before="10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Out of the four board games tested in this study, three of them appear to hold some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promise in the context of generating environmental awareness. the only exception,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EVOLutIOn: CLIMatE (Crapuchettes, 2016), had a climate component that was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too disconnected from the core of the main game, and the players were unable to shift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in-game climate enough to experience any serious consequences of their actions.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sum, however, our main findings suggest that board games can be highly effective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illustrating and visualizing the connections between a player’s actions and their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impact on the game board. they can also be utilized by researchers to explore how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players interact, compete and distribute or hoard resources in a social dilemma situa-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tion. they also hold some promise as an answer to the call for more relatable, under-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standable, concrete and simplified forms of communication about the environment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and the social issues that environmental decline might cause.</w:t>
      </w:r>
    </w:p>
    <w:p>
      <w:pPr>
        <w:autoSpaceDN w:val="0"/>
        <w:autoSpaceDE w:val="0"/>
        <w:widowControl/>
        <w:spacing w:line="278" w:lineRule="exact" w:before="334" w:after="0"/>
        <w:ind w:left="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>limitations and Future Research</w:t>
      </w:r>
    </w:p>
    <w:p>
      <w:pPr>
        <w:autoSpaceDN w:val="0"/>
        <w:autoSpaceDE w:val="0"/>
        <w:widowControl/>
        <w:spacing w:line="240" w:lineRule="exact" w:before="108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While our study reveals some promising dawning indications for the effectiveness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board games in promoting environmental awareness, there are some limitations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study that need to be addressed. firstly, due to the qualitative nature of the study,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larger-scale triangulated and quantitative studies are required in order to get a more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complete picture as to the extent of the effectiveness of environment-themed board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game play. Secondly, board games can be very complex and difficult to get into. this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means that the players often spend a significant amount of time discussing and explain-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ing the rules, supposing that they are all unfamiliar with the games chosen for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game session. In our study, players using 20-30 minutes of the time schedule to under-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stand the rules was not uncommon, and one group even cancelled their gameplay due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to the rules being too complex. a lacking understanding of the rules also caused sev-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eral of our respondents to call the lead researcher for help during gameplay, which also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added to the length of the gameplay session. future researchers are therefore encour-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aged to either use a moderator or instructor with previous knowledge of the game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explain the rules before gameplay is initiated, sending the rules out to the players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before the gameplay sessions begin, or including a set amount of time in the play ses-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sion for the players to discuss and explain the rules of the game. thirdly, our study did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not prioritize post-game debriefing sessions due to taking place late in the evening.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Debriefing sessions can be useful in clearing up any misconceptions the players might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have, providing in-depth knowledge about the game’s topic, as well as encouraging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reflections and topical debates among the players.</w:t>
      </w:r>
    </w:p>
    <w:p>
      <w:pPr>
        <w:sectPr>
          <w:pgSz w:w="8640" w:h="12960"/>
          <w:pgMar w:top="304" w:right="888" w:bottom="870" w:left="838" w:header="720" w:footer="720" w:gutter="0"/>
          <w:cols w:space="720" w:num="1" w:equalWidth="0">
            <w:col w:w="6914" w:space="0"/>
            <w:col w:w="6912" w:space="0"/>
            <w:col w:w="6912" w:space="0"/>
            <w:col w:w="6914" w:space="0"/>
            <w:col w:w="6912" w:space="0"/>
            <w:col w:w="6912" w:space="0"/>
            <w:col w:w="6912" w:space="0"/>
            <w:col w:w="6914" w:space="0"/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455"/>
        <w:gridCol w:w="3455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 xml:space="preserve">Fjællingsdal and Klöckner </w:t>
            </w:r>
          </w:p>
        </w:tc>
        <w:tc>
          <w:tcPr>
            <w:tcW w:type="dxa" w:w="2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647</w:t>
            </w:r>
          </w:p>
        </w:tc>
      </w:tr>
    </w:tbl>
    <w:p>
      <w:pPr>
        <w:autoSpaceDN w:val="0"/>
        <w:autoSpaceDE w:val="0"/>
        <w:widowControl/>
        <w:spacing w:line="288" w:lineRule="exact" w:before="310" w:after="0"/>
        <w:ind w:left="4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Appendix</w:t>
      </w:r>
    </w:p>
    <w:p>
      <w:pPr>
        <w:autoSpaceDN w:val="0"/>
        <w:autoSpaceDE w:val="0"/>
        <w:widowControl/>
        <w:spacing w:line="216" w:lineRule="exact" w:before="152" w:after="0"/>
        <w:ind w:left="4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18"/>
        </w:rPr>
        <w:t>Table 1.</w:t>
      </w: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Interview Guide.</w:t>
      </w:r>
    </w:p>
    <w:p>
      <w:pPr>
        <w:autoSpaceDN w:val="0"/>
        <w:autoSpaceDE w:val="0"/>
        <w:widowControl/>
        <w:spacing w:line="208" w:lineRule="exact" w:before="160" w:after="0"/>
        <w:ind w:left="4" w:right="0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1. What are your thoughts on using games for educational purposes?</w:t>
      </w:r>
    </w:p>
    <w:p>
      <w:pPr>
        <w:autoSpaceDN w:val="0"/>
        <w:autoSpaceDE w:val="0"/>
        <w:widowControl/>
        <w:spacing w:line="208" w:lineRule="exact" w:before="2" w:after="0"/>
        <w:ind w:left="4" w:right="0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2. Why did you choose the game you ended up playing?</w:t>
      </w:r>
    </w:p>
    <w:p>
      <w:pPr>
        <w:autoSpaceDN w:val="0"/>
        <w:autoSpaceDE w:val="0"/>
        <w:widowControl/>
        <w:spacing w:line="208" w:lineRule="exact" w:before="2" w:after="0"/>
        <w:ind w:left="4" w:right="0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3. What, in your opinion, is the main theme or topic of the game?</w:t>
      </w:r>
    </w:p>
    <w:p>
      <w:pPr>
        <w:autoSpaceDN w:val="0"/>
        <w:autoSpaceDE w:val="0"/>
        <w:widowControl/>
        <w:spacing w:line="210" w:lineRule="exact" w:before="2" w:after="0"/>
        <w:ind w:left="4" w:right="0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4. Were the rules easy to understand?</w:t>
      </w:r>
    </w:p>
    <w:p>
      <w:pPr>
        <w:autoSpaceDN w:val="0"/>
        <w:autoSpaceDE w:val="0"/>
        <w:widowControl/>
        <w:spacing w:line="210" w:lineRule="exact" w:before="0" w:after="0"/>
        <w:ind w:left="4" w:right="0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5. Was there anything about the game that you perceived as particularly good?</w:t>
      </w:r>
    </w:p>
    <w:p>
      <w:pPr>
        <w:autoSpaceDN w:val="0"/>
        <w:autoSpaceDE w:val="0"/>
        <w:widowControl/>
        <w:spacing w:line="210" w:lineRule="exact" w:before="0" w:after="0"/>
        <w:ind w:left="4" w:right="0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6. Was there anything about the game that you perceived as particularly bad?</w:t>
      </w:r>
    </w:p>
    <w:p>
      <w:pPr>
        <w:autoSpaceDN w:val="0"/>
        <w:tabs>
          <w:tab w:pos="344" w:val="left"/>
        </w:tabs>
        <w:autoSpaceDE w:val="0"/>
        <w:widowControl/>
        <w:spacing w:line="210" w:lineRule="exact" w:before="0" w:after="0"/>
        <w:ind w:left="4" w:right="144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7. What do you think about the relationship between cooperation and competition in </w:t>
      </w:r>
      <w:r>
        <w:tab/>
      </w:r>
      <w:r>
        <w:rPr>
          <w:rFonts w:ascii="GillSansMTPro" w:hAnsi="GillSansMTPro" w:eastAsia="GillSansMTPro"/>
          <w:b w:val="0"/>
          <w:i w:val="0"/>
          <w:color w:val="221F1F"/>
          <w:sz w:val="18"/>
        </w:rPr>
        <w:t>the game?</w:t>
      </w:r>
    </w:p>
    <w:p>
      <w:pPr>
        <w:autoSpaceDN w:val="0"/>
        <w:autoSpaceDE w:val="0"/>
        <w:widowControl/>
        <w:spacing w:line="210" w:lineRule="exact" w:before="0" w:after="0"/>
        <w:ind w:left="4" w:right="0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8. Do you feel that the game has taught you anything about our environment?</w:t>
      </w:r>
    </w:p>
    <w:p>
      <w:pPr>
        <w:autoSpaceDN w:val="0"/>
        <w:tabs>
          <w:tab w:pos="344" w:val="left"/>
        </w:tabs>
        <w:autoSpaceDE w:val="0"/>
        <w:widowControl/>
        <w:spacing w:line="210" w:lineRule="exact" w:before="0" w:after="0"/>
        <w:ind w:left="4" w:right="864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9. Do you feel that the game gave you a greater degree of insight into how our </w:t>
      </w:r>
      <w:r>
        <w:tab/>
      </w:r>
      <w:r>
        <w:rPr>
          <w:rFonts w:ascii="GillSansMTPro" w:hAnsi="GillSansMTPro" w:eastAsia="GillSansMTPro"/>
          <w:b w:val="0"/>
          <w:i w:val="0"/>
          <w:color w:val="221F1F"/>
          <w:sz w:val="18"/>
        </w:rPr>
        <w:t>environment works?</w:t>
      </w:r>
    </w:p>
    <w:p>
      <w:pPr>
        <w:autoSpaceDN w:val="0"/>
        <w:tabs>
          <w:tab w:pos="344" w:val="left"/>
        </w:tabs>
        <w:autoSpaceDE w:val="0"/>
        <w:widowControl/>
        <w:spacing w:line="210" w:lineRule="exact" w:before="0" w:after="0"/>
        <w:ind w:left="4" w:right="864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10. Do you feel that the game has inspired you to do something positive for the </w:t>
      </w:r>
      <w:r>
        <w:tab/>
      </w:r>
      <w:r>
        <w:rPr>
          <w:rFonts w:ascii="GillSansMTPro" w:hAnsi="GillSansMTPro" w:eastAsia="GillSansMTPro"/>
          <w:b w:val="0"/>
          <w:i w:val="0"/>
          <w:color w:val="221F1F"/>
          <w:sz w:val="18"/>
        </w:rPr>
        <w:t>environment in the near future? In that case; what?</w:t>
      </w:r>
    </w:p>
    <w:p>
      <w:pPr>
        <w:autoSpaceDN w:val="0"/>
        <w:tabs>
          <w:tab w:pos="344" w:val="left"/>
        </w:tabs>
        <w:autoSpaceDE w:val="0"/>
        <w:widowControl/>
        <w:spacing w:line="210" w:lineRule="exact" w:before="0" w:after="0"/>
        <w:ind w:left="4" w:right="144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11. How do you feel the game has provided you with insight into how you can circumvent </w:t>
      </w:r>
      <w:r>
        <w:tab/>
      </w:r>
      <w:r>
        <w:rPr>
          <w:rFonts w:ascii="GillSansMTPro" w:hAnsi="GillSansMTPro" w:eastAsia="GillSansMTPro"/>
          <w:b w:val="0"/>
          <w:i w:val="0"/>
          <w:color w:val="221F1F"/>
          <w:sz w:val="18"/>
        </w:rPr>
        <w:t>environmental issues?</w:t>
      </w:r>
    </w:p>
    <w:p>
      <w:pPr>
        <w:autoSpaceDN w:val="0"/>
        <w:autoSpaceDE w:val="0"/>
        <w:widowControl/>
        <w:spacing w:line="210" w:lineRule="exact" w:before="0" w:after="0"/>
        <w:ind w:left="4" w:right="0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8"/>
        </w:rPr>
        <w:t>12. Do you have any other comments about the game session?</w:t>
      </w:r>
    </w:p>
    <w:p>
      <w:pPr>
        <w:autoSpaceDN w:val="0"/>
        <w:autoSpaceDE w:val="0"/>
        <w:widowControl/>
        <w:spacing w:line="240" w:lineRule="exact" w:before="302" w:after="0"/>
        <w:ind w:left="4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0"/>
        </w:rPr>
        <w:t>Declaration of Conflicting Interests</w:t>
      </w:r>
    </w:p>
    <w:p>
      <w:pPr>
        <w:autoSpaceDN w:val="0"/>
        <w:autoSpaceDE w:val="0"/>
        <w:widowControl/>
        <w:spacing w:line="198" w:lineRule="exact" w:before="9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authors declared no potential conflicts of interest with respect to the research, authorship, </w:t>
      </w:r>
    </w:p>
    <w:p>
      <w:pPr>
        <w:autoSpaceDN w:val="0"/>
        <w:autoSpaceDE w:val="0"/>
        <w:widowControl/>
        <w:spacing w:line="198" w:lineRule="exact" w:before="22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and/or publication of this article.</w:t>
      </w:r>
    </w:p>
    <w:p>
      <w:pPr>
        <w:autoSpaceDN w:val="0"/>
        <w:autoSpaceDE w:val="0"/>
        <w:widowControl/>
        <w:spacing w:line="240" w:lineRule="exact" w:before="250" w:after="0"/>
        <w:ind w:left="4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0"/>
        </w:rPr>
        <w:t>Funding</w:t>
      </w:r>
    </w:p>
    <w:p>
      <w:pPr>
        <w:autoSpaceDN w:val="0"/>
        <w:autoSpaceDE w:val="0"/>
        <w:widowControl/>
        <w:spacing w:line="198" w:lineRule="exact" w:before="9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authors received no financial support for the research, authorship, and/or publication of this </w:t>
      </w:r>
    </w:p>
    <w:p>
      <w:pPr>
        <w:autoSpaceDN w:val="0"/>
        <w:autoSpaceDE w:val="0"/>
        <w:widowControl/>
        <w:spacing w:line="198" w:lineRule="exact" w:before="22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article.</w:t>
      </w:r>
    </w:p>
    <w:p>
      <w:pPr>
        <w:autoSpaceDN w:val="0"/>
        <w:autoSpaceDE w:val="0"/>
        <w:widowControl/>
        <w:spacing w:line="240" w:lineRule="exact" w:before="250" w:after="0"/>
        <w:ind w:left="4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0"/>
        </w:rPr>
        <w:t>ORCID iD</w:t>
      </w:r>
    </w:p>
    <w:p>
      <w:pPr>
        <w:autoSpaceDN w:val="0"/>
        <w:autoSpaceDE w:val="0"/>
        <w:widowControl/>
        <w:spacing w:line="240" w:lineRule="auto" w:before="0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Kristoffer S. fjællingsdal </w:t>
      </w:r>
      <w:r>
        <w:drawing>
          <wp:inline xmlns:a="http://schemas.openxmlformats.org/drawingml/2006/main" xmlns:pic="http://schemas.openxmlformats.org/drawingml/2006/picture">
            <wp:extent cx="1524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17" w:history="1">
          <w:r>
            <w:rPr>
              <w:rStyle w:val="Hyperlink"/>
            </w:rPr>
            <w:t>https://orcid.org/0000-0001-5370-6937</w:t>
          </w:r>
        </w:hyperlink>
      </w:r>
    </w:p>
    <w:p>
      <w:pPr>
        <w:autoSpaceDN w:val="0"/>
        <w:autoSpaceDE w:val="0"/>
        <w:widowControl/>
        <w:spacing w:line="240" w:lineRule="exact" w:before="250" w:after="0"/>
        <w:ind w:left="4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0"/>
        </w:rPr>
        <w:t>Note</w:t>
      </w:r>
    </w:p>
    <w:p>
      <w:pPr>
        <w:autoSpaceDN w:val="0"/>
        <w:tabs>
          <w:tab w:pos="364" w:val="left"/>
        </w:tabs>
        <w:autoSpaceDE w:val="0"/>
        <w:widowControl/>
        <w:spacing w:line="198" w:lineRule="exact" w:before="92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participants were offered a larger selection of environmental board games, but the </w:t>
      </w:r>
    </w:p>
    <w:p>
      <w:pPr>
        <w:autoSpaceDN w:val="0"/>
        <w:autoSpaceDE w:val="0"/>
        <w:widowControl/>
        <w:spacing w:line="198" w:lineRule="exact" w:before="22" w:after="0"/>
        <w:ind w:left="3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four games described in the following section were the ones selected by the participants. </w:t>
      </w:r>
    </w:p>
    <w:p>
      <w:pPr>
        <w:autoSpaceDN w:val="0"/>
        <w:autoSpaceDE w:val="0"/>
        <w:widowControl/>
        <w:spacing w:line="198" w:lineRule="exact" w:before="22" w:after="0"/>
        <w:ind w:left="3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complete selection of games offered was SEttLERS Of Catan – OIL SpRInGS, </w:t>
      </w:r>
    </w:p>
    <w:p>
      <w:pPr>
        <w:autoSpaceDN w:val="0"/>
        <w:autoSpaceDE w:val="0"/>
        <w:widowControl/>
        <w:spacing w:line="180" w:lineRule="exact" w:before="80" w:after="0"/>
        <w:ind w:left="3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EVOLutIOn CLIMatE, GLOBaL WaRMInG, KEEp COOL, CO</w:t>
      </w:r>
      <w:r>
        <w:rPr>
          <w:w w:val="97.49999841054282"/>
          <w:rFonts w:ascii="TimesNewRomanPSMT" w:hAnsi="TimesNewRomanPSMT" w:eastAsia="TimesNewRomanPSMT"/>
          <w:b w:val="0"/>
          <w:i w:val="0"/>
          <w:color w:val="221F1F"/>
          <w:sz w:val="12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– the board game,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BauM(M)LanD, and GREEn DEaL. Only the games chosen by the players are </w:t>
      </w:r>
    </w:p>
    <w:p>
      <w:pPr>
        <w:autoSpaceDN w:val="0"/>
        <w:autoSpaceDE w:val="0"/>
        <w:widowControl/>
        <w:spacing w:line="198" w:lineRule="exact" w:before="22" w:after="0"/>
        <w:ind w:left="3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described in the paper.</w:t>
      </w:r>
    </w:p>
    <w:p>
      <w:pPr>
        <w:autoSpaceDN w:val="0"/>
        <w:autoSpaceDE w:val="0"/>
        <w:widowControl/>
        <w:spacing w:line="240" w:lineRule="exact" w:before="330" w:after="0"/>
        <w:ind w:left="4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0"/>
        </w:rPr>
        <w:t>References</w:t>
      </w:r>
    </w:p>
    <w:p>
      <w:pPr>
        <w:autoSpaceDN w:val="0"/>
        <w:autoSpaceDE w:val="0"/>
        <w:widowControl/>
        <w:spacing w:line="198" w:lineRule="exact" w:before="1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abrahamse, W., Steg, L., Vlek, C., &amp; Rothengatter, t. (2007). the effect of tailored informa-</w:t>
      </w:r>
    </w:p>
    <w:p>
      <w:pPr>
        <w:autoSpaceDN w:val="0"/>
        <w:autoSpaceDE w:val="0"/>
        <w:widowControl/>
        <w:spacing w:line="198" w:lineRule="exact" w:before="22" w:after="0"/>
        <w:ind w:left="3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tion, goal setting, and tailored feedback on household energy use, energy-related behaviors, </w:t>
      </w:r>
    </w:p>
    <w:p>
      <w:pPr>
        <w:autoSpaceDN w:val="0"/>
        <w:autoSpaceDE w:val="0"/>
        <w:widowControl/>
        <w:spacing w:line="198" w:lineRule="exact" w:before="22" w:after="0"/>
        <w:ind w:left="3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behavioral antecedents.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Journal of environmental Psychology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27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(4), 265–276.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18" w:history="1">
          <w:r>
            <w:rPr>
              <w:rStyle w:val="Hyperlink"/>
            </w:rPr>
            <w:t>https://</w:t>
          </w:r>
        </w:hyperlink>
      </w:r>
    </w:p>
    <w:p>
      <w:pPr>
        <w:autoSpaceDN w:val="0"/>
        <w:autoSpaceDE w:val="0"/>
        <w:widowControl/>
        <w:spacing w:line="198" w:lineRule="exact" w:before="22" w:after="0"/>
        <w:ind w:left="3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18" w:history="1">
          <w:r>
            <w:rPr>
              <w:rStyle w:val="Hyperlink"/>
            </w:rPr>
            <w:t>doi.org/10.1016/j.jenvp.2007.08.002</w:t>
          </w:r>
        </w:hyperlink>
      </w:r>
    </w:p>
    <w:p>
      <w:pPr>
        <w:autoSpaceDN w:val="0"/>
        <w:autoSpaceDE w:val="0"/>
        <w:widowControl/>
        <w:spacing w:line="198" w:lineRule="exact" w:before="22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abt, C. C. (1987).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Serious games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. university press of america.</w:t>
      </w:r>
    </w:p>
    <w:p>
      <w:pPr>
        <w:sectPr>
          <w:pgSz w:w="8640" w:h="12960"/>
          <w:pgMar w:top="276" w:right="774" w:bottom="570" w:left="956" w:header="720" w:footer="720" w:gutter="0"/>
          <w:cols w:space="720" w:num="1" w:equalWidth="0">
            <w:col w:w="6910" w:space="0"/>
            <w:col w:w="6914" w:space="0"/>
            <w:col w:w="6912" w:space="0"/>
            <w:col w:w="6912" w:space="0"/>
            <w:col w:w="6914" w:space="0"/>
            <w:col w:w="6912" w:space="0"/>
            <w:col w:w="6912" w:space="0"/>
            <w:col w:w="6912" w:space="0"/>
            <w:col w:w="6914" w:space="0"/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4"/>
        <w:gridCol w:w="3454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648</w:t>
            </w:r>
          </w:p>
        </w:tc>
        <w:tc>
          <w:tcPr>
            <w:tcW w:type="dxa" w:w="43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Simulation &amp; Gaming 51(5)</w:t>
            </w:r>
          </w:p>
        </w:tc>
      </w:tr>
    </w:tbl>
    <w:p>
      <w:pPr>
        <w:autoSpaceDN w:val="0"/>
        <w:tabs>
          <w:tab w:pos="322" w:val="left"/>
        </w:tabs>
        <w:autoSpaceDE w:val="0"/>
        <w:widowControl/>
        <w:spacing w:line="220" w:lineRule="exact" w:before="26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arnaudo, M. (2018).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Studies in gaming. Storytelling in the modern board game: narrative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trends from the late 1960s to today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. Mcfarland.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assadourian, E., &amp; Hansen, t. (2011).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Catan SCenaRIoS: oIl SPRIngS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Catan GmbH.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Board game.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Barreteau, O., Le page, C., &amp; perez, p. (2007). Contribution of simulation and gaming to natu-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ral resource management issues: an introduction.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Simulation &amp; gaming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38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(2), 185–194. 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19" w:history="1">
          <w:r>
            <w:rPr>
              <w:rStyle w:val="Hyperlink"/>
            </w:rPr>
            <w:t xml:space="preserve">https://doi.org/10.1177/1046878107300660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Boardgamegeek.com. (2019a, May 20).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Catan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0" w:history="1">
          <w:r>
            <w:rPr>
              <w:rStyle w:val="Hyperlink"/>
            </w:rPr>
            <w:t xml:space="preserve">https://boardgamegeek.com/boardgame/13/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0" w:history="1">
          <w:r>
            <w:rPr>
              <w:rStyle w:val="Hyperlink"/>
            </w:rPr>
            <w:t xml:space="preserve">catan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Boardgamegeek.com. (2019b, May 21).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Catan SCenaRIoS: oIl SPRIngS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1" w:history="1">
          <w:r>
            <w:rPr>
              <w:rStyle w:val="Hyperlink"/>
            </w:rPr>
            <w:t>https://board-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1" w:history="1">
          <w:r>
            <w:rPr>
              <w:rStyle w:val="Hyperlink"/>
            </w:rPr>
            <w:t xml:space="preserve">gamegeek.com/boardgame/110794/catan-scenarios-oil-springs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Boardgamegeek.com. (2019c, May 21).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evolutIon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2" w:history="1">
          <w:r>
            <w:rPr>
              <w:rStyle w:val="Hyperlink"/>
            </w:rPr>
            <w:t>https://boardgamegeek.com/board-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2" w:history="1">
          <w:r>
            <w:rPr>
              <w:rStyle w:val="Hyperlink"/>
            </w:rPr>
            <w:t xml:space="preserve">game/155703/evolution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Boardgamegeek.com. (2019d, May 21).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evolutIon: ClImate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3" w:history="1">
          <w:r>
            <w:rPr>
              <w:rStyle w:val="Hyperlink"/>
            </w:rPr>
            <w:t>https://boardgamegeek.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3" w:history="1">
          <w:r>
            <w:rPr>
              <w:rStyle w:val="Hyperlink"/>
            </w:rPr>
            <w:t xml:space="preserve">com/boardgame/182134/evolution-climate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Boardgamegeek.com. (2019e, May 22).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gloBal WaRmIng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4" w:history="1">
          <w:r>
            <w:rPr>
              <w:rStyle w:val="Hyperlink"/>
            </w:rPr>
            <w:t xml:space="preserve">https://boardgamegeek.com/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4" w:history="1">
          <w:r>
            <w:rPr>
              <w:rStyle w:val="Hyperlink"/>
            </w:rPr>
            <w:t xml:space="preserve">boardgame/83468/global-warming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Boardgamegeek.com. (2019f, May 22).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KeeP Cool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5" w:history="1">
          <w:r>
            <w:rPr>
              <w:rStyle w:val="Hyperlink"/>
            </w:rPr>
            <w:t>https://boardgamegeek.com/board-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5" w:history="1">
          <w:r>
            <w:rPr>
              <w:rStyle w:val="Hyperlink"/>
            </w:rPr>
            <w:t xml:space="preserve">game/14698/keep-cool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Boardgamegeek.com. (2019g, July 10).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take that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6" w:history="1">
          <w:r>
            <w:rPr>
              <w:rStyle w:val="Hyperlink"/>
            </w:rPr>
            <w:t>https://boardgamegeek.com/boardgamem-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6" w:history="1">
          <w:r>
            <w:rPr>
              <w:rStyle w:val="Hyperlink"/>
            </w:rPr>
            <w:t xml:space="preserve">echanic/2686/take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Braun, V., &amp; Clarke, V. (2006). using thematic analysis in qualitative psychology.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Qualitative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Research in Psychology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3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(2), 77–101.</w:t>
      </w:r>
    </w:p>
    <w:p>
      <w:pPr>
        <w:autoSpaceDN w:val="0"/>
        <w:autoSpaceDE w:val="0"/>
        <w:widowControl/>
        <w:spacing w:line="198" w:lineRule="exact" w:before="22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Bucak, S. D. (2011).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gloBal WaRmIng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. Mücke Spiele. Board game.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Carreira, f., aguiar, a. C., Onça, f., &amp; Monzoni, M. (2017). tHE CELSIuS GaME: an expe-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riential activity on management education simulating the complex challenges for the two-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degree climate change target.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the International Journal of management education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15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350–361.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7" w:history="1">
          <w:r>
            <w:rPr>
              <w:rStyle w:val="Hyperlink"/>
            </w:rPr>
            <w:t xml:space="preserve">https://doi.org/10.1016/j.ijme.2017.03.012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Castronova, E., &amp; Knowles, I. (2015). a model of climate policy using board game mechanics.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International Journal of Serious games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(3), 1–15.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Chappin, E. J. L., Bijvoet, X., &amp; Oei, a. (2017). teaching sustainability to a broad audi-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ence through an entertainment game—the effect of Catan: OIL SpRInGS.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Journal of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Cleaner Production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156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556–568.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8" w:history="1">
          <w:r>
            <w:rPr>
              <w:rStyle w:val="Hyperlink"/>
            </w:rPr>
            <w:t xml:space="preserve">https://doi.org/10.1016/j.jclepro.2017.04.069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Cheng, p.-H., Yeh, t.-K., tsai, J.-C., Lin, C.-R., &amp; Chang, C.-Y. (2019). Development of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issue-situation-based board game: a systemic learning environment for water resource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adaptation education.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Sustainability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1–17.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9" w:history="1">
          <w:r>
            <w:rPr>
              <w:rStyle w:val="Hyperlink"/>
            </w:rPr>
            <w:t xml:space="preserve">https://doi.org/10.3390/su11051341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Cook, J., nuccitelli, D., Green, S. a., Richardson, M., Winkler, B., painting, R., Way, R., Jacobs,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p., &amp; Skuce, a. (2013). Quantifying the consensus on anthropogenic global warming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scientific literature.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environmental Research letters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1–7.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0" w:history="1">
          <w:r>
            <w:rPr>
              <w:rStyle w:val="Hyperlink"/>
            </w:rPr>
            <w:t>https://doi.org/10.1088/1748-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0" w:history="1">
          <w:r>
            <w:rPr>
              <w:rStyle w:val="Hyperlink"/>
            </w:rPr>
            <w:t xml:space="preserve">9326/8/2/024024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Copeland, t., Henderson, B., Mayer, B., &amp; nicholson, S. (2013). three different paths for table-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top gaming in school libraries.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library trends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61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(4), 825–835.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1" w:history="1">
          <w:r>
            <w:rPr>
              <w:rStyle w:val="Hyperlink"/>
            </w:rPr>
            <w:t xml:space="preserve">https://doi.org/10.1353/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1" w:history="1">
          <w:r>
            <w:rPr>
              <w:rStyle w:val="Hyperlink"/>
            </w:rPr>
            <w:t xml:space="preserve">lib.2013.0018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Costikyan, G. (2002). I have no words &amp; i must design: toward a critical vocabulary for games. </w:t>
      </w:r>
    </w:p>
    <w:p>
      <w:pPr>
        <w:autoSpaceDN w:val="0"/>
        <w:autoSpaceDE w:val="0"/>
        <w:widowControl/>
        <w:spacing w:line="220" w:lineRule="exact" w:before="0" w:after="0"/>
        <w:ind w:left="3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f. Mäyrä (Ed.),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Proceedings of the Computer games and Digital Cultures Conference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(pp. 9–33). tampere university press.</w:t>
      </w:r>
    </w:p>
    <w:p>
      <w:pPr>
        <w:autoSpaceDN w:val="0"/>
        <w:autoSpaceDE w:val="0"/>
        <w:widowControl/>
        <w:spacing w:line="200" w:lineRule="exact" w:before="2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Crapuchettes, D. (2014).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evolutIon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. north Star Games. Board game.</w:t>
      </w:r>
    </w:p>
    <w:p>
      <w:pPr>
        <w:autoSpaceDN w:val="0"/>
        <w:autoSpaceDE w:val="0"/>
        <w:widowControl/>
        <w:spacing w:line="200" w:lineRule="exact" w:before="2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Crapuchettes, D. (2016).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evolutIon: ClImate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. north Star Games. Board game.</w:t>
      </w:r>
    </w:p>
    <w:p>
      <w:pPr>
        <w:sectPr>
          <w:pgSz w:w="8640" w:h="12960"/>
          <w:pgMar w:top="304" w:right="894" w:bottom="630" w:left="838" w:header="720" w:footer="720" w:gutter="0"/>
          <w:cols w:space="720" w:num="1" w:equalWidth="0">
            <w:col w:w="6908" w:space="0"/>
            <w:col w:w="6910" w:space="0"/>
            <w:col w:w="6914" w:space="0"/>
            <w:col w:w="6912" w:space="0"/>
            <w:col w:w="6912" w:space="0"/>
            <w:col w:w="6914" w:space="0"/>
            <w:col w:w="6912" w:space="0"/>
            <w:col w:w="6912" w:space="0"/>
            <w:col w:w="6912" w:space="0"/>
            <w:col w:w="6914" w:space="0"/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4"/>
        <w:gridCol w:w="3454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 xml:space="preserve">Fjællingsdal and Klöckner </w:t>
            </w:r>
          </w:p>
        </w:tc>
        <w:tc>
          <w:tcPr>
            <w:tcW w:type="dxa" w:w="2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649</w:t>
            </w:r>
          </w:p>
        </w:tc>
      </w:tr>
    </w:tbl>
    <w:p>
      <w:pPr>
        <w:autoSpaceDN w:val="0"/>
        <w:tabs>
          <w:tab w:pos="322" w:val="left"/>
        </w:tabs>
        <w:autoSpaceDE w:val="0"/>
        <w:widowControl/>
        <w:spacing w:line="220" w:lineRule="exact" w:before="32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Cushman-Roisin, B., Rice, n. J., III, &amp; Moldaver, M. a. (2000). a simulation tool for industrial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ecology.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Journal of Industrial ecology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3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(4), 131–144.</w:t>
      </w:r>
    </w:p>
    <w:p>
      <w:pPr>
        <w:autoSpaceDN w:val="0"/>
        <w:autoSpaceDE w:val="0"/>
        <w:widowControl/>
        <w:spacing w:line="220" w:lineRule="exact" w:before="0" w:after="0"/>
        <w:ind w:left="322" w:right="0" w:hanging="32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 Groot, J. I. M., &amp; thøgersen, J. (2013). Values and pro-environmental behaviour. In L. Steg,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a. E. van den Berg, &amp; J. I. M. de Groot (Eds.),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environmental psychology: an introduction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(pp. 141–152). BpS Blackwell.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Despeisse, M. (2018, april/May).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teaching sustainability leadership in manufacturing: a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reflection on the educational benefits of the board game faCtoRy heRoeS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[paper pre-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sentation]. 25th CIRp Life Cycle Engineering (LCE) Conference, Copenhagen, Denmark.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Dieleman, H., &amp; Huisingh, H. (2006). Games by which to learn and teach about sustainable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development: Exploring the relevance of games and experiential learning for sustain-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ability.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Journal of Cleaner Production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(9–11), 837–847.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2" w:history="1">
          <w:r>
            <w:rPr>
              <w:rStyle w:val="Hyperlink"/>
            </w:rPr>
            <w:t>https://doi.org/10.1016/j.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2" w:history="1">
          <w:r>
            <w:rPr>
              <w:rStyle w:val="Hyperlink"/>
            </w:rPr>
            <w:t xml:space="preserve">jclepro.2005.11.031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Egenfeldt-nielsen, S. E., Smith, J. H., &amp; tosca, S. p. (2013).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understanding video games: the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essential introduction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(2nd ed.). Routledge.</w:t>
      </w:r>
    </w:p>
    <w:p>
      <w:pPr>
        <w:autoSpaceDN w:val="0"/>
        <w:autoSpaceDE w:val="0"/>
        <w:widowControl/>
        <w:spacing w:line="220" w:lineRule="exact" w:before="0" w:after="0"/>
        <w:ind w:left="0" w:right="6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Eisenack, K. (2012). a climate change board game for interdisciplinary communication and educa-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tion.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Simulation &amp; gaming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(2–3), 328–348.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3" w:history="1">
          <w:r>
            <w:rPr>
              <w:rStyle w:val="Hyperlink"/>
            </w:rPr>
            <w:t xml:space="preserve">https://doi.org/10.1177/1046878112452639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Eisenack, K., &amp; petschel-Held, G. (2004).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KeeP Cool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. Spieltrieb. Board game.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Eisenack, K., &amp; Reckien, D. (2013). Climate change and simulation/gaming.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Simulation &amp;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gaming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(2–3), 245–252.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4" w:history="1">
          <w:r>
            <w:rPr>
              <w:rStyle w:val="Hyperlink"/>
            </w:rPr>
            <w:t xml:space="preserve">https://doi.org/10.1177/1046878113490568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Elms, a. C. (1966). Influence of fantasy ability on attitude change through role playing.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Journal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of Personality and Social Psychology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(1), 36–43.</w:t>
      </w:r>
    </w:p>
    <w:p>
      <w:pPr>
        <w:autoSpaceDN w:val="0"/>
        <w:autoSpaceDE w:val="0"/>
        <w:widowControl/>
        <w:spacing w:line="220" w:lineRule="exact" w:before="0" w:after="0"/>
        <w:ind w:left="322" w:right="22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fazio, R. H., &amp; Zanna, M. p. (1981). Direct experience and attitude-behavior consistency.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L. Berkowitz (Ed.),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advances in experimental social psychology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(Vol. 14, pp. 161–202).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academic press.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fennewald, t. J., &amp; Kievit-Kylar, B. (2013). Integrating climate change mechanics into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common pool resource game.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Simulation &amp; gaming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(2–3), 427–451.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5" w:history="1">
          <w:r>
            <w:rPr>
              <w:rStyle w:val="Hyperlink"/>
            </w:rPr>
            <w:t>https://doi.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5" w:history="1">
          <w:r>
            <w:rPr>
              <w:rStyle w:val="Hyperlink"/>
            </w:rPr>
            <w:t xml:space="preserve">org/10.1177/1046878112467618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fischhoff, B. (2007). nonpersuasive communication about matters of greatest urgency: Climate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change.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environmental Science &amp; technology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7204–7208.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6" w:history="1">
          <w:r>
            <w:rPr>
              <w:rStyle w:val="Hyperlink"/>
            </w:rPr>
            <w:t xml:space="preserve">https://doi.org/10.1021/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6" w:history="1">
          <w:r>
            <w:rPr>
              <w:rStyle w:val="Hyperlink"/>
            </w:rPr>
            <w:t xml:space="preserve">es0726411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foltz, a., Williams, C., Gerson, S. a., Reynolds, D. J., pogoda, S., Begum, t., &amp; Walton, S. 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p. (2019). Game developers’ approaches to communicating climate change.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frontiers in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Communication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article 28.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7" w:history="1">
          <w:r>
            <w:rPr>
              <w:rStyle w:val="Hyperlink"/>
            </w:rPr>
            <w:t xml:space="preserve">https://doi.org/10.3389/fcomm.2019.00028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frey, J. H., &amp; Montana, a. (1991). the group interview in social research.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the Social Science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Journal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(2), 175–187.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frick, J., Kaiser, f. G., &amp; Wilson, M. (2004). Environmental knowledge and conservation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behavior: Exploring prevalence and structure in a representative sample.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Personality and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Individual Differences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37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(8), 1597–1613.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8" w:history="1">
          <w:r>
            <w:rPr>
              <w:rStyle w:val="Hyperlink"/>
            </w:rPr>
            <w:t xml:space="preserve">https://doi.org/10.1016/j.paid.2004.02.015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García-Barros, L., García-Barros, R., Cruz-Morales, J., &amp; Smith, J. a. (2015). When death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approaches: Reverting or exploiting emergent inequity in a complex land-use table-board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game.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ecology &amp; Society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20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(2), article 13.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9" w:history="1">
          <w:r>
            <w:rPr>
              <w:rStyle w:val="Hyperlink"/>
            </w:rPr>
            <w:t xml:space="preserve">https://doi.org/10.5751/ES-07372-200213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Gauthier, a., Kato, p. M., Kim, C. M. B., Dunwell, I., Walker-Clarke, a., &amp; Lameras, p. 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(2019). Board games for health: a systematic literature review and meta-analysis.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games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for health Journal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(2), 1–16.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0" w:history="1">
          <w:r>
            <w:rPr>
              <w:rStyle w:val="Hyperlink"/>
            </w:rPr>
            <w:t xml:space="preserve">https://doi.org/10.1089/g4h.2018.0017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Green, M. C., &amp; Brock, t. C. (2000). the role of transportation in the persuasiveness of pub-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lic narratives.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Journal of Personality and Social Psychology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79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(5), 701–721.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1" w:history="1">
          <w:r>
            <w:rPr>
              <w:rStyle w:val="Hyperlink"/>
            </w:rPr>
            <w:t>https://doi.</w:t>
          </w:r>
        </w:hyperlink>
      </w:r>
    </w:p>
    <w:p>
      <w:pPr>
        <w:autoSpaceDN w:val="0"/>
        <w:autoSpaceDE w:val="0"/>
        <w:widowControl/>
        <w:spacing w:line="200" w:lineRule="exact" w:before="20" w:after="0"/>
        <w:ind w:left="3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1" w:history="1">
          <w:r>
            <w:rPr>
              <w:rStyle w:val="Hyperlink"/>
            </w:rPr>
            <w:t>org/10.1037//0022-3514.79.5.701</w:t>
          </w:r>
        </w:hyperlink>
      </w:r>
    </w:p>
    <w:p>
      <w:pPr>
        <w:sectPr>
          <w:pgSz w:w="8640" w:h="12960"/>
          <w:pgMar w:top="276" w:right="774" w:bottom="740" w:left="958" w:header="720" w:footer="720" w:gutter="0"/>
          <w:cols w:space="720" w:num="1" w:equalWidth="0">
            <w:col w:w="6908" w:space="0"/>
            <w:col w:w="6908" w:space="0"/>
            <w:col w:w="6910" w:space="0"/>
            <w:col w:w="6914" w:space="0"/>
            <w:col w:w="6912" w:space="0"/>
            <w:col w:w="6912" w:space="0"/>
            <w:col w:w="6914" w:space="0"/>
            <w:col w:w="6912" w:space="0"/>
            <w:col w:w="6912" w:space="0"/>
            <w:col w:w="6912" w:space="0"/>
            <w:col w:w="6914" w:space="0"/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4"/>
        <w:gridCol w:w="3454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650</w:t>
            </w:r>
          </w:p>
        </w:tc>
        <w:tc>
          <w:tcPr>
            <w:tcW w:type="dxa" w:w="43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Simulation &amp; Gaming 51(5)</w:t>
            </w:r>
          </w:p>
        </w:tc>
      </w:tr>
    </w:tbl>
    <w:p>
      <w:pPr>
        <w:autoSpaceDN w:val="0"/>
        <w:tabs>
          <w:tab w:pos="322" w:val="left"/>
        </w:tabs>
        <w:autoSpaceDE w:val="0"/>
        <w:widowControl/>
        <w:spacing w:line="220" w:lineRule="exact" w:before="26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Grolnick, W. S., &amp; Ryan, R. M. (1987). autonomy in children’s learning: an experimental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individual difference investigation.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Journal of Personality and Social Psychology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52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(5),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890–898.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2" w:history="1">
          <w:r>
            <w:rPr>
              <w:rStyle w:val="Hyperlink"/>
            </w:rPr>
            <w:t xml:space="preserve">https://doi.org/10.1037/0022-3514.52.5.890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Gunter, G. a., Kenny, R. f., &amp; Vick, E. H. (2008). taking educational games seriously: using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REtaIn model to design endogenous fantasy into standalone educational games. 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educational technology Research and Development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56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511–537.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3" w:history="1">
          <w:r>
            <w:rPr>
              <w:rStyle w:val="Hyperlink"/>
            </w:rPr>
            <w:t xml:space="preserve">https://doi.org/10.1007/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3" w:history="1">
          <w:r>
            <w:rPr>
              <w:rStyle w:val="Hyperlink"/>
            </w:rPr>
            <w:t xml:space="preserve">s11423-007-9073-2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Hansen, a., &amp; Machin, D. (2013). Researching visual environmental communication. 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environmental Communication: a Journal of nature and Culture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7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(2), 151–168.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4" w:history="1">
          <w:r>
            <w:rPr>
              <w:rStyle w:val="Hyperlink"/>
            </w:rPr>
            <w:t xml:space="preserve">https://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4" w:history="1">
          <w:r>
            <w:rPr>
              <w:rStyle w:val="Hyperlink"/>
            </w:rPr>
            <w:t xml:space="preserve">doi.org/10.1080/17524032.2013.785441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Hassol, S. J. (2008). Improving how scientists communicate about climate change.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eos, transactions,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american geophysical union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89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(11), 106–107.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5" w:history="1">
          <w:r>
            <w:rPr>
              <w:rStyle w:val="Hyperlink"/>
            </w:rPr>
            <w:t xml:space="preserve">https://doi.org/10.1029/2008EO110002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Hines, J. M., Hungerford, H. R., &amp; tomera, a. n. (1987). analysis and synthesis of research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on responsible environmental behavior: a meta-analysis.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the Journal of environmental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education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(2), 1–8.</w:t>
      </w:r>
    </w:p>
    <w:p>
      <w:pPr>
        <w:autoSpaceDN w:val="0"/>
        <w:tabs>
          <w:tab w:pos="322" w:val="left"/>
        </w:tabs>
        <w:autoSpaceDE w:val="0"/>
        <w:widowControl/>
        <w:spacing w:line="218" w:lineRule="exact" w:before="2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Klöckner, C. a. (2015).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the psychology of pro-environmental communication: Beyond stan-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dard information strategies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. palgrave Macmillan.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Kolb, D. a. (1984).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experiential learning: experience as the source of learning and develop-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ment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. prentice Hall.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Kollmuss, a., &amp; agyeman, J. (2002). Mind the gap: Why do people act environmentally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what are the barriers to pro-environmental behavior?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environmental education Research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(3), 239–260.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6" w:history="1">
          <w:r>
            <w:rPr>
              <w:rStyle w:val="Hyperlink"/>
            </w:rPr>
            <w:t xml:space="preserve">https://doi.org/10.1080/13504620220145401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Kosa, M., &amp; Spronck, p. (2018, august).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What tabletop players think about augmented table-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top games: a content analysis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[Conference session]. International Conference on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foundations of Digital Games, Malmö, Sweden.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7" w:history="1">
          <w:r>
            <w:rPr>
              <w:rStyle w:val="Hyperlink"/>
            </w:rPr>
            <w:t xml:space="preserve">https://doi.org/10.1145/3235765.3235782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Krajewski, J. (2018).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eCo [PC game]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. Strange Loop Games.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Krathwohl, D. R. (2002). a revision of Bloom’s taxonomy: an overview.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theory Into Practice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(4), 212–218.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8" w:history="1">
          <w:r>
            <w:rPr>
              <w:rStyle w:val="Hyperlink"/>
            </w:rPr>
            <w:t xml:space="preserve">https://doi.org/10.1207/s15430421tip4104_2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Lakoff, G. (2010). Why it matters how we frame the environment.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environmental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Communication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(1), 70–81.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9" w:history="1">
          <w:r>
            <w:rPr>
              <w:rStyle w:val="Hyperlink"/>
            </w:rPr>
            <w:t xml:space="preserve">https://doi.org/10.1080/17524030903529749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Lee, J. R. (2017). Capitalism and unfairness in Catan: OIL SpRInGS.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analog game Studies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0" w:history="1">
          <w:r>
            <w:rPr>
              <w:rStyle w:val="Hyperlink"/>
            </w:rPr>
            <w:t xml:space="preserve">http://analoggamestudies.org/2017/03/capitalism-and-unfairness-in-catan-oil-springs/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Lofgren, E. t., &amp; fefferman, n. H. (2007). the untapped potential of virtual game worlds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shed light on real world epidemics.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the lancet Infectious Diseases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7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(9), 625–629.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1" w:history="1">
          <w:r>
            <w:rPr>
              <w:rStyle w:val="Hyperlink"/>
            </w:rPr>
            <w:t xml:space="preserve">https://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1" w:history="1">
          <w:r>
            <w:rPr>
              <w:rStyle w:val="Hyperlink"/>
            </w:rPr>
            <w:t xml:space="preserve">doi.org/10.1016/S1473-3099(07)70212-8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Lombardi, I. (2012). not-so-serious games for language learning. now with 99,9% more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humour on top.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Procedia Computer Science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15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148–158.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2" w:history="1">
          <w:r>
            <w:rPr>
              <w:rStyle w:val="Hyperlink"/>
            </w:rPr>
            <w:t>https://doi.org/10.1016/j.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2" w:history="1">
          <w:r>
            <w:rPr>
              <w:rStyle w:val="Hyperlink"/>
            </w:rPr>
            <w:t xml:space="preserve">procs.2012.10.066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McGonigal, J. (2011).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Reality is broken: Why games make us better and how they can change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the world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. Vintage Books.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Mcnerney, t. S. (2004). from turtles to tangible programming Bricks: Explorations in physical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language design.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Personal ubiquitous Computing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(5), 326–337.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3" w:history="1">
          <w:r>
            <w:rPr>
              <w:rStyle w:val="Hyperlink"/>
            </w:rPr>
            <w:t xml:space="preserve">https://doi.org/10.1007/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3" w:history="1">
          <w:r>
            <w:rPr>
              <w:rStyle w:val="Hyperlink"/>
            </w:rPr>
            <w:t xml:space="preserve">s00779-004-0295-6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Messick, D. M., &amp; McClintock, C. G. (1968). Motivational basis of choice in experimental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games.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Journal of experimental Social Psychology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1–25.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4" w:history="1">
          <w:r>
            <w:rPr>
              <w:rStyle w:val="Hyperlink"/>
            </w:rPr>
            <w:t>https://doi.org/10.1016/0022-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4" w:history="1">
          <w:r>
            <w:rPr>
              <w:rStyle w:val="Hyperlink"/>
            </w:rPr>
            <w:t>1031(68)90046-2</w:t>
          </w:r>
        </w:hyperlink>
      </w:r>
    </w:p>
    <w:p>
      <w:pPr>
        <w:sectPr>
          <w:pgSz w:w="8640" w:h="12960"/>
          <w:pgMar w:top="304" w:right="894" w:bottom="850" w:left="838" w:header="720" w:footer="720" w:gutter="0"/>
          <w:cols w:space="720" w:num="1" w:equalWidth="0">
            <w:col w:w="6908" w:space="0"/>
            <w:col w:w="6908" w:space="0"/>
            <w:col w:w="6908" w:space="0"/>
            <w:col w:w="6910" w:space="0"/>
            <w:col w:w="6914" w:space="0"/>
            <w:col w:w="6912" w:space="0"/>
            <w:col w:w="6912" w:space="0"/>
            <w:col w:w="6914" w:space="0"/>
            <w:col w:w="6912" w:space="0"/>
            <w:col w:w="6912" w:space="0"/>
            <w:col w:w="6912" w:space="0"/>
            <w:col w:w="6914" w:space="0"/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4"/>
        <w:gridCol w:w="3454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 xml:space="preserve">Fjællingsdal and Klöckner </w:t>
            </w:r>
          </w:p>
        </w:tc>
        <w:tc>
          <w:tcPr>
            <w:tcW w:type="dxa" w:w="2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651</w:t>
            </w:r>
          </w:p>
        </w:tc>
      </w:tr>
    </w:tbl>
    <w:p>
      <w:pPr>
        <w:autoSpaceDN w:val="0"/>
        <w:tabs>
          <w:tab w:pos="322" w:val="left"/>
        </w:tabs>
        <w:autoSpaceDE w:val="0"/>
        <w:widowControl/>
        <w:spacing w:line="220" w:lineRule="exact" w:before="32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Ogershok, p. R., &amp; Cottrell, S. (2004). the pediatric board game.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medical teacher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26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(6),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514–517.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5" w:history="1">
          <w:r>
            <w:rPr>
              <w:rStyle w:val="Hyperlink"/>
            </w:rPr>
            <w:t xml:space="preserve">https://doi.org/10.1080/01421590410001711553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Olsen, K. S., Winsnes, G., &amp; Svendsen, B. (2013). Brettspill som terapeutisk verktøy [Board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games as therapeutic tools].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nordic Journal of Child and adolescent Psychotherapy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29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52–61.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price, S., Rogers, Y., Scaife, M., Stanton, D., &amp; neale, H. (2003). using “tangibles” to promote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novel forms of playful learning.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Interacting With Computers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15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(2), 169–185.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6" w:history="1">
          <w:r>
            <w:rPr>
              <w:rStyle w:val="Hyperlink"/>
            </w:rPr>
            <w:t>https://doi.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6" w:history="1">
          <w:r>
            <w:rPr>
              <w:rStyle w:val="Hyperlink"/>
            </w:rPr>
            <w:t xml:space="preserve">org/10.1016/S0953-5438(03)00006-7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Ramachandran, V. S. (2011).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the tell-tale brain: unlocking the mystery of human nature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Windmill Books.</w:t>
      </w:r>
    </w:p>
    <w:p>
      <w:pPr>
        <w:autoSpaceDN w:val="0"/>
        <w:autoSpaceDE w:val="0"/>
        <w:widowControl/>
        <w:spacing w:line="200" w:lineRule="exact" w:before="2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Roberts, I. (2011).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fate of the WoRlD [PC game]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. Red Redemption.</w:t>
      </w:r>
    </w:p>
    <w:p>
      <w:pPr>
        <w:autoSpaceDN w:val="0"/>
        <w:autoSpaceDE w:val="0"/>
        <w:widowControl/>
        <w:spacing w:line="200" w:lineRule="exact" w:before="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Rogerson, M. J., &amp; Gibbs, M. (2018). finding time for tabletop: Board game play and parenting. 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games and Culture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13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(3), 280–300.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7" w:history="1">
          <w:r>
            <w:rPr>
              <w:rStyle w:val="Hyperlink"/>
            </w:rPr>
            <w:t xml:space="preserve">https://doi.org/10.1177/1555412016656324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Rogerson, M. J., Gibbs, M., &amp; Smith, W. (2016, May).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“I love all the bits”: the materiality of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boardgames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[paper presentation]. CHI’16, San Jose, Ca, united States.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Rusca, M., Heun, J., &amp; Schwartz, K. (2012). Water management simulation games and the con-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struction of knowledge.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hydrology and earth System Sciences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16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(3), 2749–2757.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8" w:history="1">
          <w:r>
            <w:rPr>
              <w:rStyle w:val="Hyperlink"/>
            </w:rPr>
            <w:t xml:space="preserve">https://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8" w:history="1">
          <w:r>
            <w:rPr>
              <w:rStyle w:val="Hyperlink"/>
            </w:rPr>
            <w:t xml:space="preserve">doi.org/10.5194/hess-16-2749-2012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Salen, K., &amp; Zimmerman, E. (2004).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Rules of play: game design fundamentals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MIt press.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Schell, J. (2008).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the art of game design: a book of lenses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. CRC press.</w:t>
      </w:r>
    </w:p>
    <w:p>
      <w:pPr>
        <w:autoSpaceDN w:val="0"/>
        <w:autoSpaceDE w:val="0"/>
        <w:widowControl/>
        <w:spacing w:line="220" w:lineRule="exact" w:before="0" w:after="0"/>
        <w:ind w:left="322" w:right="66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Schultz, p. W. (2002). Knowledge, education, and household recycling: Examining the knowl-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edge-deficit model of behavior change. In t. Dietz &amp; p. Stern (Eds.),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new tools for envi-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ronmental protection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(pp. 67–82). national academy of Sciences.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Schulze, J., Martin, R., finger, a., Henzen, C., Lindner, M., pietzsch, K., Werntze, a., Zander,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u., &amp; Seppelt, R. (2015). Design, implementation and test of a serious online game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exploring complex relationships of sustainable land management and human well-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being.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environmental modelling &amp; Software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65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58–66.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9" w:history="1">
          <w:r>
            <w:rPr>
              <w:rStyle w:val="Hyperlink"/>
            </w:rPr>
            <w:t>https://doi.org/10.1016/j.env-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9" w:history="1">
          <w:r>
            <w:rPr>
              <w:rStyle w:val="Hyperlink"/>
            </w:rPr>
            <w:t xml:space="preserve">soft.2014.11.029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Sebbane, M. (2001). Board games from Canaan in the Early and Intermediate Bronze ages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origin of the Egyptian SEnEt game.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tel aviv, Journal of the Institute of archaeology of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tel aviv university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(2), 213–230.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0" w:history="1">
          <w:r>
            <w:rPr>
              <w:rStyle w:val="Hyperlink"/>
            </w:rPr>
            <w:t xml:space="preserve">https://doi.org/10.1179/tav.2001.2001.2.213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Staats, H., Wit, a., &amp; Midden, C. (1996). Communicating the greenhouse effect to the pub-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lic: Evaluation of a mass media campaign from a social dilemma perspective.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Journal of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environmental management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45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, 189–203.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Stanitsas, M., Kirytopoulos, K., &amp; Vareilles, E. (2019). facilitating sustainability transition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through serious games: a systematic literature review.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Journal of Cleaner Production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209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924–936.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1" w:history="1">
          <w:r>
            <w:rPr>
              <w:rStyle w:val="Hyperlink"/>
            </w:rPr>
            <w:t xml:space="preserve">https://doi.org/10.1016/j.jclepro.2018.10.157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Stoknes, p. E. (2017).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Det vi tenker på når vi prøver å ikke tenke på global oppvarming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[What we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think about when we try not to think about global warming]. (2nd ed.). tiden norsk forlag.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Strange, J. J., &amp; Leung, C. C. (1999). How anecdotal accounts in news and in fiction can influ-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ence judgments of a social problem’s urgency, causes, and cures.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Personality and Social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Psychology Bulletin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25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(4), 436–449.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2" w:history="1">
          <w:r>
            <w:rPr>
              <w:rStyle w:val="Hyperlink"/>
            </w:rPr>
            <w:t xml:space="preserve">https://doi.org/10.1177/0146167299025004004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teuber, K. (1995).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the SettleRS of Catan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. KOSMOS. Board game.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tversky, a., &amp; Kahneman, D. (1973). availability: a heuristic for judging frequency and proba-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bility.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Cognitive Psychology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5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(2), 207–232.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3" w:history="1">
          <w:r>
            <w:rPr>
              <w:rStyle w:val="Hyperlink"/>
            </w:rPr>
            <w:t xml:space="preserve">https://doi.org/10.1016/0010-0285(73)90033-9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tversky, a., &amp; Kahneman, D. (1974). Judgment under uncertainty: Heuristics and biases. 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Science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185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(4157), 1124–1131.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4" w:history="1">
          <w:r>
            <w:rPr>
              <w:rStyle w:val="Hyperlink"/>
            </w:rPr>
            <w:t xml:space="preserve">https://doi.org/10.1126/science.185.4157.1124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van der Stege, H. a., van Staa, a., Hilberink, S. a., &amp; Visser, a. p. (2010). using the new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board game SECZ taLK to stimulate the communication on sexual health for adolescents </w:t>
      </w:r>
    </w:p>
    <w:p>
      <w:pPr>
        <w:sectPr>
          <w:pgSz w:w="8640" w:h="12960"/>
          <w:pgMar w:top="276" w:right="774" w:bottom="520" w:left="958" w:header="720" w:footer="720" w:gutter="0"/>
          <w:cols w:space="720" w:num="1" w:equalWidth="0">
            <w:col w:w="6908" w:space="0"/>
            <w:col w:w="6908" w:space="0"/>
            <w:col w:w="6908" w:space="0"/>
            <w:col w:w="6908" w:space="0"/>
            <w:col w:w="6910" w:space="0"/>
            <w:col w:w="6914" w:space="0"/>
            <w:col w:w="6912" w:space="0"/>
            <w:col w:w="6912" w:space="0"/>
            <w:col w:w="6914" w:space="0"/>
            <w:col w:w="6912" w:space="0"/>
            <w:col w:w="6912" w:space="0"/>
            <w:col w:w="6912" w:space="0"/>
            <w:col w:w="6914" w:space="0"/>
            <w:col w:w="6914" w:space="0"/>
            <w:col w:w="6912" w:space="0"/>
            <w:col w:w="6914" w:space="0"/>
            <w:col w:w="6914" w:space="0"/>
            <w:col w:w="6912" w:space="0"/>
            <w:col w:w="6918" w:space="0"/>
            <w:col w:w="7636" w:space="0"/>
            <w:col w:w="4888" w:space="0"/>
            <w:col w:w="2748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4"/>
        <w:gridCol w:w="3454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652</w:t>
            </w:r>
          </w:p>
        </w:tc>
        <w:tc>
          <w:tcPr>
            <w:tcW w:type="dxa" w:w="43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Simulation &amp; Gaming 51(5)</w:t>
            </w:r>
          </w:p>
        </w:tc>
      </w:tr>
    </w:tbl>
    <w:p>
      <w:pPr>
        <w:autoSpaceDN w:val="0"/>
        <w:autoSpaceDE w:val="0"/>
        <w:widowControl/>
        <w:spacing w:line="200" w:lineRule="exact" w:before="280" w:after="0"/>
        <w:ind w:left="3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with chronic conditions.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Patient education and Counseling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81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(3), 324–331.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5" w:history="1">
          <w:r>
            <w:rPr>
              <w:rStyle w:val="Hyperlink"/>
            </w:rPr>
            <w:t>https://doi.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5" w:history="1">
          <w:r>
            <w:rPr>
              <w:rStyle w:val="Hyperlink"/>
            </w:rPr>
            <w:t xml:space="preserve">org/10.1016/j.pec.2010.09.011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Vatne, G. (2013). Klima og flom – i fortid og framtid [Climate and flooding – in the past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future]. In L. M. Bye, H. Lein, &amp; J. K. Rød (Eds.),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mot en farligere fremtid? om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klimaendringer, sårbarhet og tilpasning i norge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[towards a more dangerous future? 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climate change, vulnerability and adaptation in norway] (pp. 33–69). akademika forlag.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von Borgstede, C., Johansson, L.-O., &amp; nilsson, a. (2013). Social dilemmas: Motivational, indi-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vidual and structural aspects influencing cooperation. In L. Steg, a. E. van den Berg, &amp; J. I. M. 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 Groot (Eds.),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environmental psychology: an introduction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(pp. 175–184). BpS Blackwell.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Waddington, D. I., &amp; fennewald, t. (2018). Grim fatE: Learning about systems thinking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an in-depth climate change simulation.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Simulation &amp; gaming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49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(2), 1–27.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6" w:history="1">
          <w:r>
            <w:rPr>
              <w:rStyle w:val="Hyperlink"/>
            </w:rPr>
            <w:t>https://doi.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6" w:history="1">
          <w:r>
            <w:rPr>
              <w:rStyle w:val="Hyperlink"/>
            </w:rPr>
            <w:t xml:space="preserve">org/10.1177/1046878117753498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Weingart, p., Engels, a., &amp; pansergrau, p. (2000). Risks of communication: Discourses 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climate change in science, politics, and the mass media.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Public understanding of Science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9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(3), 261–283.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Wonica, p. (2015). Learning to evaluate analog games for education.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analog game Studies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(4).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7" w:history="1">
          <w:r>
            <w:rPr>
              <w:rStyle w:val="Hyperlink"/>
            </w:rPr>
            <w:t xml:space="preserve">http://analoggamestudies.org/2015/05/evaluating-educational-goals-in-party-games/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Woodbury, R. f., Shannon, S. J., &amp; Radford, a. D. (2001). Games in early design education: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playing with metaphor. In B de Vries, J van Leeuwen &amp; H achten (Eds.),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 Computer aided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architectural design futures 2001: Proceedings of the ninth International Conference held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at the eindhoven university of technology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(pp. 201–214). Kluwer academic publishers.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Woods, S. (2012).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eurogames: the design, culture and play of modern european board games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Mcfarland.</w:t>
      </w:r>
    </w:p>
    <w:p>
      <w:pPr>
        <w:autoSpaceDN w:val="0"/>
        <w:autoSpaceDE w:val="0"/>
        <w:widowControl/>
        <w:spacing w:line="198" w:lineRule="exact" w:before="2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Wu, J. S., &amp; Lee, J. J. (2015). Climate change games as tools for education and engagement. 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nature Climate Change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5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413–418.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8" w:history="1">
          <w:r>
            <w:rPr>
              <w:rStyle w:val="Hyperlink"/>
            </w:rPr>
            <w:t xml:space="preserve">https://doi.org/10.1038/nCLIMatE2566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Xie, L., antle, a. n., &amp; Motamedi, n. (2008). are tangibles more fun? Comparing children’s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enjoyment and engagement using physical, graphical and tangible user interfaces. In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Proceedings of the Second International Conference on tangible and embedded Interaction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(teI’08)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(pp. 191–198). association for Computing Machinery.</w:t>
      </w:r>
    </w:p>
    <w:p>
      <w:pPr>
        <w:autoSpaceDN w:val="0"/>
        <w:autoSpaceDE w:val="0"/>
        <w:widowControl/>
        <w:spacing w:line="198" w:lineRule="exact" w:before="2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Zagal, J. p., Rick, J., &amp; Hsi, I. (2006). Collaborative games: Lessons learned from board games. </w:t>
      </w:r>
    </w:p>
    <w:p>
      <w:pPr>
        <w:autoSpaceDN w:val="0"/>
        <w:autoSpaceDE w:val="0"/>
        <w:widowControl/>
        <w:spacing w:line="198" w:lineRule="exact" w:before="22" w:after="0"/>
        <w:ind w:left="32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8"/>
        </w:rPr>
        <w:t>Simulation &amp; gaming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37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(1), 24–40.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9" w:history="1">
          <w:r>
            <w:rPr>
              <w:rStyle w:val="Hyperlink"/>
            </w:rPr>
            <w:t>https://doi.org/10.1177/1046878105282279</w:t>
          </w:r>
        </w:hyperlink>
      </w:r>
    </w:p>
    <w:p>
      <w:pPr>
        <w:autoSpaceDN w:val="0"/>
        <w:autoSpaceDE w:val="0"/>
        <w:widowControl/>
        <w:spacing w:line="238" w:lineRule="exact" w:before="252" w:after="0"/>
        <w:ind w:left="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0"/>
        </w:rPr>
        <w:t>Author Biographies</w:t>
      </w:r>
    </w:p>
    <w:p>
      <w:pPr>
        <w:autoSpaceDN w:val="0"/>
        <w:autoSpaceDE w:val="0"/>
        <w:widowControl/>
        <w:spacing w:line="220" w:lineRule="exact" w:before="72" w:after="0"/>
        <w:ind w:left="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>Kristoffer S. Fjællingsdal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is a phD candidate in environmental psychology and communica-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tion at the norwegian university of Science and technology, and a member of a research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group on “citizens, environment and safety”. His interests revolve around the use of educa-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tional games in environmental communication, pro-environmental behavioural change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behavioural interventions.</w:t>
      </w:r>
    </w:p>
    <w:p>
      <w:pPr>
        <w:autoSpaceDN w:val="0"/>
        <w:autoSpaceDE w:val="0"/>
        <w:widowControl/>
        <w:spacing w:line="200" w:lineRule="exact" w:before="14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Contact: kristoffer.fjallingsdal@ntnu.no</w:t>
      </w:r>
    </w:p>
    <w:p>
      <w:pPr>
        <w:autoSpaceDN w:val="0"/>
        <w:autoSpaceDE w:val="0"/>
        <w:widowControl/>
        <w:spacing w:line="220" w:lineRule="exact" w:before="120" w:after="0"/>
        <w:ind w:left="2" w:right="20" w:firstLine="0"/>
        <w:jc w:val="both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>Christian A. Klöckner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is professor in social psychology at the norwegian university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Science and technology where he leads a research group on “citizens, environment, and safety”.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 is interested in exploring drivers of environmental behaviour, innovative environmental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communication, and interventions to change environmentally relevant behaviour. He is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leader of many large national and international research projects in these domains.</w:t>
      </w:r>
    </w:p>
    <w:p>
      <w:pPr>
        <w:autoSpaceDN w:val="0"/>
        <w:autoSpaceDE w:val="0"/>
        <w:widowControl/>
        <w:spacing w:line="200" w:lineRule="exact" w:before="16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Contact: christian.klockner@ntnu.no</w:t>
      </w:r>
    </w:p>
    <w:sectPr w:rsidR="00FC693F" w:rsidRPr="0006063C" w:rsidSect="00034616">
      <w:pgSz w:w="8640" w:h="12960"/>
      <w:pgMar w:top="304" w:right="894" w:bottom="708" w:left="838" w:header="720" w:footer="720" w:gutter="0"/>
      <w:cols w:space="720" w:num="1" w:equalWidth="0">
        <w:col w:w="6908" w:space="0"/>
        <w:col w:w="6908" w:space="0"/>
        <w:col w:w="6908" w:space="0"/>
        <w:col w:w="6908" w:space="0"/>
        <w:col w:w="6908" w:space="0"/>
        <w:col w:w="6910" w:space="0"/>
        <w:col w:w="6914" w:space="0"/>
        <w:col w:w="6912" w:space="0"/>
        <w:col w:w="6912" w:space="0"/>
        <w:col w:w="6914" w:space="0"/>
        <w:col w:w="6912" w:space="0"/>
        <w:col w:w="6912" w:space="0"/>
        <w:col w:w="6912" w:space="0"/>
        <w:col w:w="6914" w:space="0"/>
        <w:col w:w="6914" w:space="0"/>
        <w:col w:w="6912" w:space="0"/>
        <w:col w:w="6914" w:space="0"/>
        <w:col w:w="6914" w:space="0"/>
        <w:col w:w="6912" w:space="0"/>
        <w:col w:w="6918" w:space="0"/>
        <w:col w:w="7636" w:space="0"/>
        <w:col w:w="4888" w:space="0"/>
        <w:col w:w="2748" w:space="0"/>
        <w:col w:w="76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crossmark.crossref.org/dialog/?doi=10.1177%2F1046878120925133&amp;domain=pdf&amp;date_stamp=2020-06-12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us.sagepub.com/en-us/journals-permissions" TargetMode="External"/><Relationship Id="rId13" Type="http://schemas.openxmlformats.org/officeDocument/2006/relationships/hyperlink" Target="https://journals.sagepub.com/home/sag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mailto:kristoffer.fjallingsdal@ntnu.no" TargetMode="External"/><Relationship Id="rId17" Type="http://schemas.openxmlformats.org/officeDocument/2006/relationships/hyperlink" Target="https://orcid.org/0000-0001-5370-6937" TargetMode="External"/><Relationship Id="rId18" Type="http://schemas.openxmlformats.org/officeDocument/2006/relationships/hyperlink" Target="https://doi.org/10.1016/j.jenvp.2007.08.002" TargetMode="External"/><Relationship Id="rId19" Type="http://schemas.openxmlformats.org/officeDocument/2006/relationships/hyperlink" Target="https://doi.org/10.1177/1046878107300660" TargetMode="External"/><Relationship Id="rId20" Type="http://schemas.openxmlformats.org/officeDocument/2006/relationships/hyperlink" Target="https://boardgamegeek.com/boardgame/13/catan" TargetMode="External"/><Relationship Id="rId21" Type="http://schemas.openxmlformats.org/officeDocument/2006/relationships/hyperlink" Target="https://boardgamegeek.com/boardgame/110794/catan-scenarios-oil-springs" TargetMode="External"/><Relationship Id="rId22" Type="http://schemas.openxmlformats.org/officeDocument/2006/relationships/hyperlink" Target="https://boardgamegeek.com/boardgame/155703/evolution" TargetMode="External"/><Relationship Id="rId23" Type="http://schemas.openxmlformats.org/officeDocument/2006/relationships/hyperlink" Target="https://boardgamegeek.com/boardgame/182134/evolution-climate" TargetMode="External"/><Relationship Id="rId24" Type="http://schemas.openxmlformats.org/officeDocument/2006/relationships/hyperlink" Target="https://boardgamegeek.com/boardgame/83468/global-warming" TargetMode="External"/><Relationship Id="rId25" Type="http://schemas.openxmlformats.org/officeDocument/2006/relationships/hyperlink" Target="https://boardgamegeek.com/boardgame/14698/keep-cool" TargetMode="External"/><Relationship Id="rId26" Type="http://schemas.openxmlformats.org/officeDocument/2006/relationships/hyperlink" Target="https://boardgamegeek.com/boardgamemechanic/2686/take" TargetMode="External"/><Relationship Id="rId27" Type="http://schemas.openxmlformats.org/officeDocument/2006/relationships/hyperlink" Target="https://doi.org/10.1016/j.ijme.2017.03.012" TargetMode="External"/><Relationship Id="rId28" Type="http://schemas.openxmlformats.org/officeDocument/2006/relationships/hyperlink" Target="https://doi.org/10.1016/j.jclepro.2017.04.069" TargetMode="External"/><Relationship Id="rId29" Type="http://schemas.openxmlformats.org/officeDocument/2006/relationships/hyperlink" Target="https://doi.org/10.3390/su11051341" TargetMode="External"/><Relationship Id="rId30" Type="http://schemas.openxmlformats.org/officeDocument/2006/relationships/hyperlink" Target="https://doi.org/10.1088/1748-9326/8/2/024024" TargetMode="External"/><Relationship Id="rId31" Type="http://schemas.openxmlformats.org/officeDocument/2006/relationships/hyperlink" Target="https://doi.org/10.1353/lib.2013.0018" TargetMode="External"/><Relationship Id="rId32" Type="http://schemas.openxmlformats.org/officeDocument/2006/relationships/hyperlink" Target="https://doi.org/10.1016/j.jclepro.2005.11.031" TargetMode="External"/><Relationship Id="rId33" Type="http://schemas.openxmlformats.org/officeDocument/2006/relationships/hyperlink" Target="https://doi.org/10.1177/1046878112452639" TargetMode="External"/><Relationship Id="rId34" Type="http://schemas.openxmlformats.org/officeDocument/2006/relationships/hyperlink" Target="https://doi.org/10.1177/1046878113490568" TargetMode="External"/><Relationship Id="rId35" Type="http://schemas.openxmlformats.org/officeDocument/2006/relationships/hyperlink" Target="https://doi.org/10.1177/1046878112467618" TargetMode="External"/><Relationship Id="rId36" Type="http://schemas.openxmlformats.org/officeDocument/2006/relationships/hyperlink" Target="https://doi.org/10.1021/es0726411" TargetMode="External"/><Relationship Id="rId37" Type="http://schemas.openxmlformats.org/officeDocument/2006/relationships/hyperlink" Target="https://doi.org/10.3389/fcomm.2019.00028" TargetMode="External"/><Relationship Id="rId38" Type="http://schemas.openxmlformats.org/officeDocument/2006/relationships/hyperlink" Target="https://doi.org/10.1016/j.paid.2004.02.015" TargetMode="External"/><Relationship Id="rId39" Type="http://schemas.openxmlformats.org/officeDocument/2006/relationships/hyperlink" Target="https://doi.org/10.5751/ES-07372-200213" TargetMode="External"/><Relationship Id="rId40" Type="http://schemas.openxmlformats.org/officeDocument/2006/relationships/hyperlink" Target="https://doi.org/10.1089/g4h.2018.0017" TargetMode="External"/><Relationship Id="rId41" Type="http://schemas.openxmlformats.org/officeDocument/2006/relationships/hyperlink" Target="https://doi.org/10.1037//0022-3514.79.5.701" TargetMode="External"/><Relationship Id="rId42" Type="http://schemas.openxmlformats.org/officeDocument/2006/relationships/hyperlink" Target="https://doi.org/10.1037/0022-3514.52.5.890" TargetMode="External"/><Relationship Id="rId43" Type="http://schemas.openxmlformats.org/officeDocument/2006/relationships/hyperlink" Target="https://doi.org/10.1007/s11423-007-9073-2" TargetMode="External"/><Relationship Id="rId44" Type="http://schemas.openxmlformats.org/officeDocument/2006/relationships/hyperlink" Target="https://doi.org/10.1080/17524032.2013.785441" TargetMode="External"/><Relationship Id="rId45" Type="http://schemas.openxmlformats.org/officeDocument/2006/relationships/hyperlink" Target="https://doi.org/10.1029/2008EO110002" TargetMode="External"/><Relationship Id="rId46" Type="http://schemas.openxmlformats.org/officeDocument/2006/relationships/hyperlink" Target="https://doi.org/10.1080/13504620220145401" TargetMode="External"/><Relationship Id="rId47" Type="http://schemas.openxmlformats.org/officeDocument/2006/relationships/hyperlink" Target="https://doi.org/10.1145/3235765.3235782" TargetMode="External"/><Relationship Id="rId48" Type="http://schemas.openxmlformats.org/officeDocument/2006/relationships/hyperlink" Target="https://doi.org/10.1207/s15430421tip4104_2" TargetMode="External"/><Relationship Id="rId49" Type="http://schemas.openxmlformats.org/officeDocument/2006/relationships/hyperlink" Target="https://doi.org/10.1080/17524030903529749" TargetMode="External"/><Relationship Id="rId50" Type="http://schemas.openxmlformats.org/officeDocument/2006/relationships/hyperlink" Target="http://analoggamestudies.org/2017/03/capitalism-and-unfairness-in-catan-oil-springs/" TargetMode="External"/><Relationship Id="rId51" Type="http://schemas.openxmlformats.org/officeDocument/2006/relationships/hyperlink" Target="https://doi.org/10.1016/S1473-3099(07)70212-8" TargetMode="External"/><Relationship Id="rId52" Type="http://schemas.openxmlformats.org/officeDocument/2006/relationships/hyperlink" Target="https://doi.org/10.1016/j.procs.2012.10.066" TargetMode="External"/><Relationship Id="rId53" Type="http://schemas.openxmlformats.org/officeDocument/2006/relationships/hyperlink" Target="https://doi.org/10.1007/s00779-004-0295-6" TargetMode="External"/><Relationship Id="rId54" Type="http://schemas.openxmlformats.org/officeDocument/2006/relationships/hyperlink" Target="https://doi.org/10.1016/0022-1031(68)90046-2" TargetMode="External"/><Relationship Id="rId55" Type="http://schemas.openxmlformats.org/officeDocument/2006/relationships/hyperlink" Target="https://doi.org/10.1080/01421590410001711553" TargetMode="External"/><Relationship Id="rId56" Type="http://schemas.openxmlformats.org/officeDocument/2006/relationships/hyperlink" Target="https://doi.org/10.1016/S0953-5438(03)00006-7" TargetMode="External"/><Relationship Id="rId57" Type="http://schemas.openxmlformats.org/officeDocument/2006/relationships/hyperlink" Target="https://doi.org/10.1177/1555412016656324" TargetMode="External"/><Relationship Id="rId58" Type="http://schemas.openxmlformats.org/officeDocument/2006/relationships/hyperlink" Target="https://doi.org/10.5194/hess-16-2749-2012" TargetMode="External"/><Relationship Id="rId59" Type="http://schemas.openxmlformats.org/officeDocument/2006/relationships/hyperlink" Target="https://doi.org/10.1016/j.envsoft.2014.11.029" TargetMode="External"/><Relationship Id="rId60" Type="http://schemas.openxmlformats.org/officeDocument/2006/relationships/hyperlink" Target="https://doi.org/10.1179/tav.2001.2001.2.213" TargetMode="External"/><Relationship Id="rId61" Type="http://schemas.openxmlformats.org/officeDocument/2006/relationships/hyperlink" Target="https://doi.org/10.1016/j.jclepro.2018.10.157" TargetMode="External"/><Relationship Id="rId62" Type="http://schemas.openxmlformats.org/officeDocument/2006/relationships/hyperlink" Target="https://doi.org/10.1177/0146167299025004004" TargetMode="External"/><Relationship Id="rId63" Type="http://schemas.openxmlformats.org/officeDocument/2006/relationships/hyperlink" Target="https://doi.org/10.1016/0010-0285(73)90033-9" TargetMode="External"/><Relationship Id="rId64" Type="http://schemas.openxmlformats.org/officeDocument/2006/relationships/hyperlink" Target="https://doi.org/10.1126/science.185.4157.1124" TargetMode="External"/><Relationship Id="rId65" Type="http://schemas.openxmlformats.org/officeDocument/2006/relationships/hyperlink" Target="https://doi.org/10.1016/j.pec.2010.09.011" TargetMode="External"/><Relationship Id="rId66" Type="http://schemas.openxmlformats.org/officeDocument/2006/relationships/hyperlink" Target="https://doi.org/10.1177/1046878117753498" TargetMode="External"/><Relationship Id="rId67" Type="http://schemas.openxmlformats.org/officeDocument/2006/relationships/hyperlink" Target="http://analoggamestudies.org/2015/05/evaluating-educational-goals-in-party-games/" TargetMode="External"/><Relationship Id="rId68" Type="http://schemas.openxmlformats.org/officeDocument/2006/relationships/hyperlink" Target="https://doi.org/10.1038/NCLIMATE2566" TargetMode="External"/><Relationship Id="rId69" Type="http://schemas.openxmlformats.org/officeDocument/2006/relationships/hyperlink" Target="https://doi.org/10.1177/1046878105282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