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33" w:lineRule="auto" w:before="1324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28"/>
        </w:rPr>
        <w:t xml:space="preserve">Keynote Talk </w:t>
      </w:r>
    </w:p>
    <w:p>
      <w:pPr>
        <w:autoSpaceDN w:val="0"/>
        <w:autoSpaceDE w:val="0"/>
        <w:widowControl/>
        <w:spacing w:line="233" w:lineRule="auto" w:before="252" w:after="0"/>
        <w:ind w:left="203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36"/>
        </w:rPr>
        <w:t xml:space="preserve">Challenges on the Road to Exascale Computing </w:t>
      </w:r>
    </w:p>
    <w:p>
      <w:pPr>
        <w:autoSpaceDN w:val="0"/>
        <w:autoSpaceDE w:val="0"/>
        <w:widowControl/>
        <w:spacing w:line="245" w:lineRule="auto" w:before="248" w:after="0"/>
        <w:ind w:left="5040" w:right="504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Dr. Tilak Agerwala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VP of Systems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IBM Research </w:t>
      </w:r>
    </w:p>
    <w:p>
      <w:pPr>
        <w:autoSpaceDN w:val="0"/>
        <w:autoSpaceDE w:val="0"/>
        <w:widowControl/>
        <w:spacing w:line="245" w:lineRule="auto" w:before="496" w:after="0"/>
        <w:ind w:left="1800" w:right="172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Abstract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Supercomputing systems have made great strides in recent years as the extensive computing needs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cutting-edge engineering work and scientific discovery have driven the development of more powerful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systems.  The first teraflop computer, ASCI Red, came on the scene in late 1996, and now a machine must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achieve 5.9 teraflops to gain entry to the very bottom of the Top500 supercomputing list. </w:t>
      </w:r>
    </w:p>
    <w:p>
      <w:pPr>
        <w:autoSpaceDN w:val="0"/>
        <w:autoSpaceDE w:val="0"/>
        <w:widowControl/>
        <w:spacing w:line="245" w:lineRule="auto" w:before="130" w:after="0"/>
        <w:ind w:left="1800" w:right="175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 the emergence of petascale supercomputers expected in 2008 or 2009, we have set our sights on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increased capacity and expected muscle of exascale computing.  This has also been the focus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organizations such as the Institute for Advanced Architectures jointly launched at Sandia and Oak Ridge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National Laboratories.  However, the challenges of exascale computing will not be solved by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technologies of today. </w:t>
      </w:r>
    </w:p>
    <w:p>
      <w:pPr>
        <w:autoSpaceDN w:val="0"/>
        <w:autoSpaceDE w:val="0"/>
        <w:widowControl/>
        <w:spacing w:line="245" w:lineRule="auto" w:before="130" w:after="0"/>
        <w:ind w:left="1800" w:right="174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If today’s most power and energy efficient supercomputer was linearly scaled to the exascale level, it would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consume around 200MWatts of power, contain over 60 million cores, and require over 400M dollars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memory.  Such a system will present significant problems in management and programmability as current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bounds of parallelism are tested.  Data accessibility will also be a significant issue as our ability to sense,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generate and calculate on data is growing faster than our ability to access, manage and even “store” that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data.  These problems only get worse as the system’s computational power scales up.  In this talk, I will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discuss exascale computing challenges to be overcome in the areas of power, architecture, programmability,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management, and data accessibility. </w:t>
      </w:r>
    </w:p>
    <w:p>
      <w:pPr>
        <w:autoSpaceDN w:val="0"/>
        <w:autoSpaceDE w:val="0"/>
        <w:widowControl/>
        <w:spacing w:line="245" w:lineRule="auto" w:before="130" w:after="0"/>
        <w:ind w:left="1800" w:right="244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Categories and Subject Descriptors: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B.m MISCELLANEOUS, C.5.1 Large and Medium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Computers </w:t>
      </w:r>
    </w:p>
    <w:p>
      <w:pPr>
        <w:autoSpaceDN w:val="0"/>
        <w:autoSpaceDE w:val="0"/>
        <w:widowControl/>
        <w:spacing w:line="230" w:lineRule="auto" w:before="134" w:after="0"/>
        <w:ind w:left="180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General Terms: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Design </w:t>
      </w:r>
    </w:p>
    <w:p>
      <w:pPr>
        <w:autoSpaceDN w:val="0"/>
        <w:autoSpaceDE w:val="0"/>
        <w:widowControl/>
        <w:spacing w:line="245" w:lineRule="auto" w:before="130" w:after="0"/>
        <w:ind w:left="1800" w:right="172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Bio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Dr. Tilak Agerwala is Vice President, Systems at IBM Research. He is responsible for all IBM's Systems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research activities worldwide in Deep Computing (for example Blue Gene, hybrid computing, and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DARPA HPCS project), commercial systems (for example BladeCenter, System p, and mainframes)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other exploratory systems research (such as computational biology). This research spans the space from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microprocessors and tools to operating systems and systems management, providing key technologies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next generation computing centers including systems architecture and design. Tilak joined IBM at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T.J. Watson Research Center and has held executive positions at IBM in research, advanced development,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development, marketing and business development. His research interests are in the area of high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performance computer architectures and systems. Tilak received the W. Wallace McDowell Award from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IEEE in 1998 for “outstanding contributions to the development of high performance computers.” He is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founding member of the IBM Academy of Technology and a Fellow of the Institute of Electrical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Electronics Engineers. He received his B.Tech. in electrical engineering from the Indian Institute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Technology, Kanpur, India and his Ph.D. in electrical engineering from the Johns Hopkins University,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Baltimore, Maryland. </w:t>
      </w:r>
    </w:p>
    <w:p>
      <w:pPr>
        <w:autoSpaceDN w:val="0"/>
        <w:autoSpaceDE w:val="0"/>
        <w:widowControl/>
        <w:spacing w:line="233" w:lineRule="auto" w:before="1182" w:after="0"/>
        <w:ind w:left="140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Copyright is held by the author/owner(s). </w:t>
      </w:r>
    </w:p>
    <w:p>
      <w:pPr>
        <w:autoSpaceDN w:val="0"/>
        <w:autoSpaceDE w:val="0"/>
        <w:widowControl/>
        <w:spacing w:line="245" w:lineRule="auto" w:before="8" w:after="0"/>
        <w:ind w:left="1404" w:right="6912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16"/>
        </w:rPr>
        <w:t>ICS’08,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June 7–12, 2008, Island of Kos, Aegean Sea, Greece.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ACM  978-1-60558-158-3/08/06. </w:t>
      </w:r>
    </w:p>
    <w:p>
      <w:pPr>
        <w:autoSpaceDN w:val="0"/>
        <w:autoSpaceDE w:val="0"/>
        <w:widowControl/>
        <w:spacing w:line="240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2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