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4118" w:firstLine="0"/>
        <w:jc w:val="right"/>
      </w:pPr>
      <w:r>
        <w:rPr>
          <w:rFonts w:ascii="" w:hAnsi="" w:eastAsia=""/>
          <w:b/>
          <w:i w:val="0"/>
          <w:color w:val="000000"/>
          <w:sz w:val="28"/>
        </w:rPr>
        <w:t xml:space="preserve">Keynote </w:t>
      </w:r>
    </w:p>
    <w:p>
      <w:pPr>
        <w:autoSpaceDN w:val="0"/>
        <w:autoSpaceDE w:val="0"/>
        <w:widowControl/>
        <w:spacing w:line="245" w:lineRule="auto" w:before="178" w:after="0"/>
        <w:ind w:left="1152" w:right="576" w:firstLine="0"/>
        <w:jc w:val="center"/>
      </w:pPr>
      <w:r>
        <w:rPr>
          <w:rFonts w:ascii="" w:hAnsi="" w:eastAsia=""/>
          <w:b/>
          <w:i w:val="0"/>
          <w:color w:val="000000"/>
          <w:sz w:val="36"/>
        </w:rPr>
        <w:t xml:space="preserve">Exascale Computing: </w:t>
      </w:r>
      <w:r>
        <w:br/>
      </w:r>
      <w:r>
        <w:rPr>
          <w:rFonts w:ascii="" w:hAnsi="" w:eastAsia=""/>
          <w:b/>
          <w:i w:val="0"/>
          <w:color w:val="000000"/>
          <w:sz w:val="36"/>
        </w:rPr>
        <w:t xml:space="preserve">The challenges and opportunities in the next decade </w:t>
      </w:r>
    </w:p>
    <w:p>
      <w:pPr>
        <w:autoSpaceDN w:val="0"/>
        <w:autoSpaceDE w:val="0"/>
        <w:widowControl/>
        <w:spacing w:line="230" w:lineRule="auto" w:before="262" w:after="0"/>
        <w:ind w:left="0" w:right="378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Dr. Tilak Agerwala </w:t>
      </w:r>
    </w:p>
    <w:p>
      <w:pPr>
        <w:autoSpaceDN w:val="0"/>
        <w:autoSpaceDE w:val="0"/>
        <w:widowControl/>
        <w:spacing w:line="245" w:lineRule="auto" w:before="246" w:after="0"/>
        <w:ind w:left="4464" w:right="4032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VP of Systems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IBM Research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tilak@us.ibm.com</w:t>
      </w:r>
    </w:p>
    <w:p>
      <w:pPr>
        <w:autoSpaceDN w:val="0"/>
        <w:autoSpaceDE w:val="0"/>
        <w:widowControl/>
        <w:spacing w:line="288" w:lineRule="auto" w:before="240" w:after="0"/>
        <w:ind w:left="1536" w:right="1008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Abstract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Supercomputing systems have made great strides in recent years as the extensive computing needs of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cutting-edge engineering work and scientific discovery have driven the development of more powerful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systems. In 2008, the first petaflop machine was released, and historic trends indicate that in ten years,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we should be at the exascale level. Indeed, various agencies are targeting a computer system capable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of 1 Exaop (10**18 ops) of computation within the next decade. We believe that applications in many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industries will be materially transformed by exascale computers. </w:t>
      </w:r>
    </w:p>
    <w:p>
      <w:pPr>
        <w:autoSpaceDN w:val="0"/>
        <w:autoSpaceDE w:val="0"/>
        <w:widowControl/>
        <w:spacing w:line="290" w:lineRule="auto" w:before="182" w:after="0"/>
        <w:ind w:left="153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Meeting the exascale challenge will require significant innovation in technology, architecture and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programmability. Power is a fundamental problem at all levels; traditional memory cost and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performance are not keeping pace with compute potential; the storage hierarchy will have to be re-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architected; networks will be a much bigger part of the system cost; reliability at exascale levels will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require a holistic approach to architecture design, and programmability and ease-of-use will be an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essential component to extract the promised performance at the exascale level. </w:t>
      </w:r>
    </w:p>
    <w:p>
      <w:pPr>
        <w:autoSpaceDN w:val="0"/>
        <w:autoSpaceDE w:val="0"/>
        <w:widowControl/>
        <w:spacing w:line="266" w:lineRule="auto" w:before="182" w:after="0"/>
        <w:ind w:left="153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In this talk, I will discuss the importance of exascale computing and address the major challenges,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touching on the areas of technology, architecture, reliability and usability. </w:t>
      </w:r>
    </w:p>
    <w:p>
      <w:pPr>
        <w:autoSpaceDN w:val="0"/>
        <w:tabs>
          <w:tab w:pos="1580" w:val="left"/>
        </w:tabs>
        <w:autoSpaceDE w:val="0"/>
        <w:widowControl/>
        <w:spacing w:line="247" w:lineRule="auto" w:before="128" w:after="0"/>
        <w:ind w:left="1536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Categories &amp; Subject Descriptors: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C.5.0 [</w:t>
      </w:r>
      <w:r>
        <w:rPr>
          <w:rFonts w:ascii="" w:hAnsi="" w:eastAsia=""/>
          <w:b/>
          <w:i w:val="0"/>
          <w:color w:val="000000"/>
          <w:sz w:val="20"/>
        </w:rPr>
        <w:t>Computer Systems Implementation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]: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General</w:t>
      </w:r>
    </w:p>
    <w:p>
      <w:pPr>
        <w:autoSpaceDN w:val="0"/>
        <w:autoSpaceDE w:val="0"/>
        <w:widowControl/>
        <w:spacing w:line="230" w:lineRule="auto" w:before="122" w:after="0"/>
        <w:ind w:left="1536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General Terms: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Design </w:t>
      </w:r>
    </w:p>
    <w:p>
      <w:pPr>
        <w:autoSpaceDN w:val="0"/>
        <w:autoSpaceDE w:val="0"/>
        <w:widowControl/>
        <w:spacing w:line="293" w:lineRule="auto" w:before="190" w:after="0"/>
        <w:ind w:left="1536" w:right="1008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Bio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Tilak Agerwala is vice president, Systems at IBM Research. He is responsible for developing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next-generation technologies for IBM’s systems, from microprocessors to commercial systems and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supercomputers, as well as novel supercomputing algorithms and applications. Dr. Agerwala joined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IBM at the T.J. Watson Research Center and has held executive positions at IBM in research,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advanced development, development, marketing and business development. His research interests are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in the area of high performance computer architectures and systems. Dr. Agerwala received the W.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Wallace McDowell Award from the IEEE in 1998 for “outstanding contributions to the development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of high performance computers.” He is a founding member of the IBM Academy of Technology. 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is a Fellow of the Institute of Electrical and Electronics Engineers. He received his B.Tech. in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electrical engineering from the Indian Institute of Technology, Kanpur, India and his Ph.D. in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electrical engineering from the Johns Hopkins University, Baltimore, Maryland. </w:t>
      </w:r>
    </w:p>
    <w:p>
      <w:pPr>
        <w:autoSpaceDN w:val="0"/>
        <w:autoSpaceDE w:val="0"/>
        <w:widowControl/>
        <w:spacing w:line="230" w:lineRule="auto" w:before="11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4"/>
        </w:rPr>
        <w:t xml:space="preserve">Copyright is held by the author/owner(s). </w:t>
      </w:r>
    </w:p>
    <w:p>
      <w:pPr>
        <w:autoSpaceDN w:val="0"/>
        <w:autoSpaceDE w:val="0"/>
        <w:widowControl/>
        <w:spacing w:line="245" w:lineRule="auto" w:before="0" w:after="0"/>
        <w:ind w:left="0" w:right="6912" w:firstLine="0"/>
        <w:jc w:val="left"/>
      </w:pPr>
      <w:r>
        <w:rPr>
          <w:rFonts w:ascii="" w:hAnsi="" w:eastAsia=""/>
          <w:b w:val="0"/>
          <w:i/>
          <w:color w:val="000000"/>
          <w:sz w:val="14"/>
        </w:rPr>
        <w:t xml:space="preserve">PPoPP’10 </w:t>
      </w:r>
      <w:r>
        <w:rPr>
          <w:rFonts w:ascii="Times New Roman" w:hAnsi="Times New Roman" w:eastAsia="Times New Roman"/>
          <w:b w:val="0"/>
          <w:i w:val="0"/>
          <w:color w:val="000000"/>
          <w:sz w:val="14"/>
        </w:rPr>
        <w:t>January 9</w:t>
      </w:r>
      <w:r>
        <w:rPr>
          <w:rFonts w:ascii="" w:hAnsi="" w:eastAsia=""/>
          <w:b w:val="0"/>
          <w:i/>
          <w:color w:val="000000"/>
          <w:sz w:val="14"/>
        </w:rPr>
        <w:t>–</w:t>
      </w:r>
      <w:r>
        <w:rPr>
          <w:rFonts w:ascii="Times New Roman" w:hAnsi="Times New Roman" w:eastAsia="Times New Roman"/>
          <w:b w:val="0"/>
          <w:i w:val="0"/>
          <w:color w:val="000000"/>
          <w:sz w:val="14"/>
        </w:rPr>
        <w:t xml:space="preserve">14, 2010, Bangalore, India.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4"/>
        </w:rPr>
        <w:t>ACM 978-1-60558-708-0/10/01.</w:t>
      </w:r>
    </w:p>
    <w:p>
      <w:pPr>
        <w:autoSpaceDN w:val="0"/>
        <w:autoSpaceDE w:val="0"/>
        <w:widowControl/>
        <w:spacing w:line="233" w:lineRule="auto" w:before="872" w:after="0"/>
        <w:ind w:left="0" w:right="463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1</w:t>
      </w:r>
    </w:p>
    <w:sectPr w:rsidR="00FC693F" w:rsidRPr="0006063C" w:rsidSect="00034616">
      <w:pgSz w:w="12240" w:h="15840"/>
      <w:pgMar w:top="610" w:right="1440" w:bottom="296" w:left="984" w:header="720" w:footer="720" w:gutter="0"/>
      <w:cols w:space="720" w:num="1" w:equalWidth="0">
        <w:col w:w="98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