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3810" w:firstLine="0"/>
        <w:jc w:val="right"/>
      </w:pPr>
      <w:r>
        <w:rPr>
          <w:rFonts w:ascii="Arial" w:hAnsi="Arial" w:eastAsia="Arial"/>
          <w:b/>
          <w:i w:val="0"/>
          <w:color w:val="000000"/>
          <w:sz w:val="28"/>
        </w:rPr>
        <w:t>Keynote Talk</w:t>
      </w:r>
    </w:p>
    <w:p>
      <w:pPr>
        <w:autoSpaceDN w:val="0"/>
        <w:autoSpaceDE w:val="0"/>
        <w:widowControl/>
        <w:spacing w:line="233" w:lineRule="auto" w:before="196" w:after="0"/>
        <w:ind w:left="15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 xml:space="preserve">Exascale Opportunities and Challenges </w:t>
      </w:r>
    </w:p>
    <w:p>
      <w:pPr>
        <w:autoSpaceDN w:val="0"/>
        <w:autoSpaceDE w:val="0"/>
        <w:widowControl/>
        <w:spacing w:line="245" w:lineRule="auto" w:before="284" w:after="2"/>
        <w:ind w:left="2880" w:right="2592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Katherine Yelick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University of California – Berkeley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Lawrence Berkeley National Laboratory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Berkeley, CA, USA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6.0" w:type="dxa"/>
      </w:tblPr>
      <w:tblGrid>
        <w:gridCol w:w="4798"/>
        <w:gridCol w:w="4798"/>
      </w:tblGrid>
      <w:tr>
        <w:trPr>
          <w:trHeight w:hRule="exact" w:val="51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Abstract 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75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yelick@eecs.berkeley.edu </w:t>
            </w:r>
          </w:p>
        </w:tc>
      </w:tr>
    </w:tbl>
    <w:p>
      <w:pPr>
        <w:autoSpaceDN w:val="0"/>
        <w:autoSpaceDE w:val="0"/>
        <w:widowControl/>
        <w:spacing w:line="298" w:lineRule="auto" w:before="24" w:after="0"/>
        <w:ind w:left="1316" w:right="10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Despite the availability of petascale systems for scientific computing, demand for computational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capability grows unabated, with areas of national and commercial interest including global climate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change, alternative energy sources, defense and medicine, as well as basic science.  Past growth in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high end has relied on a combination of faster clock speeds and larger systems, but the clock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speed benefits of Moore’s Law have ended, and 200-cabinet petascale machines are near a practical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limit. In future computing systems, performance and energy optimization will be the combined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responsibility of hardware and software developers.  Since data movement dominates energy use in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 computing system, minimizing the movement of data throughout the memory and communication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fabric are essential.  In this talk I will describe some of the hardware trends and open problems in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developing and using an exascale system. In particular, how will an energy-constrained design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affect the architecture, which in turn affects algorithms and programming models.  In addition to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these universal problems, fault resilience is a problem at the high end that will require novel system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support, possibly propagating up the software stack to user level software and algorithms.  Overall,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trends in hardware demand that the community undertake a broad set of research activities to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sustain the growth in computing performance expected by users. </w:t>
      </w:r>
    </w:p>
    <w:p>
      <w:pPr>
        <w:autoSpaceDN w:val="0"/>
        <w:autoSpaceDE w:val="0"/>
        <w:widowControl/>
        <w:spacing w:line="230" w:lineRule="auto" w:before="188" w:after="0"/>
        <w:ind w:left="131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Categories &amp; Subject Descriptors: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F.1.2</w:t>
      </w:r>
    </w:p>
    <w:p>
      <w:pPr>
        <w:autoSpaceDN w:val="0"/>
        <w:autoSpaceDE w:val="0"/>
        <w:widowControl/>
        <w:spacing w:line="230" w:lineRule="auto" w:before="172" w:after="0"/>
        <w:ind w:left="131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General Terms: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Algorithms, Performance, Reliability, Languages </w:t>
      </w:r>
    </w:p>
    <w:p>
      <w:pPr>
        <w:autoSpaceDN w:val="0"/>
        <w:autoSpaceDE w:val="0"/>
        <w:widowControl/>
        <w:spacing w:line="295" w:lineRule="auto" w:before="176" w:after="0"/>
        <w:ind w:left="131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Bio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Katherine Yelick is a Professor of Electrical Engineering and Computer Sciences at the University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of California at Berkeley and is also the Associate Laboratory Director for Computing Sciences and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Director of the National Energy Research Scientific Computing Center (NERSC) at Lawrence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Berkeley National Laboratory. She is the co-author of two books and more than 100 refereed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technical papers on parallel languages, compilers, algorithms, libraries, architecture, and storage.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She co-invented the UPC and Titanium languages and co-developed techniques for auto-tuning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numerical libraries, including the first library for sparse matrix kernels which automatically adapt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code to properties of the matrix structure and machine. Her work includes performance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and modeling as well as optimization techniques for memory hierarchies, multicore processors,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communication libraries, and processor accelerators. She earned her Ph.D. in Electrical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Engineering and Computer Science from MIT and has been a professor of Electrical Engineering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and Computer Sciences at UC Berkeley since 1991 with a joint research appointment at Berkeley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Lab since 1996. She has received multiple research and teaching awards and is a member of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California Council on Science and Technology and a member of the National Academies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committee on Sustaining Growth in Computing Performance.</w:t>
      </w:r>
    </w:p>
    <w:p>
      <w:pPr>
        <w:autoSpaceDN w:val="0"/>
        <w:autoSpaceDE w:val="0"/>
        <w:widowControl/>
        <w:spacing w:line="233" w:lineRule="auto" w:before="8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Copyright is held by the author/owner(s). </w:t>
      </w:r>
    </w:p>
    <w:p>
      <w:pPr>
        <w:autoSpaceDN w:val="0"/>
        <w:autoSpaceDE w:val="0"/>
        <w:widowControl/>
        <w:spacing w:line="245" w:lineRule="auto" w:before="8" w:after="0"/>
        <w:ind w:left="0" w:right="590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HPDC’11,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June 8–11, 2011, San Jose, California, USA.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ACM 978-1-4503-0552-5/11/06. </w:t>
      </w:r>
    </w:p>
    <w:p>
      <w:pPr>
        <w:autoSpaceDN w:val="0"/>
        <w:autoSpaceDE w:val="0"/>
        <w:widowControl/>
        <w:spacing w:line="233" w:lineRule="auto" w:before="472" w:after="0"/>
        <w:ind w:left="0" w:right="46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1</w:t>
      </w:r>
    </w:p>
    <w:sectPr w:rsidR="00FC693F" w:rsidRPr="0006063C" w:rsidSect="00034616">
      <w:pgSz w:w="12240" w:h="15840"/>
      <w:pgMar w:top="616" w:right="1440" w:bottom="396" w:left="1204" w:header="720" w:footer="720" w:gutter="0"/>
      <w:cols w:space="720" w:num="1" w:equalWidth="0">
        <w:col w:w="95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