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328"/>
        </w:trPr>
        <w:tc>
          <w:tcPr>
            <w:tcW w:type="dxa" w:w="7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75300"/>
                <w:sz w:val="16"/>
              </w:rPr>
              <w:t xml:space="preserve">View metadata, citation and similar papers at </w:t>
            </w:r>
            <w:r>
              <w:rPr>
                <w:rFonts w:ascii="Helvetica" w:hAnsi="Helvetica" w:eastAsia="Helvetica"/>
                <w:b w:val="0"/>
                <w:i w:val="0"/>
                <w:color w:val="B75300"/>
                <w:sz w:val="16"/>
                <w:u w:val="single"/>
              </w:rPr>
              <w:t>core.ac.uk</w:t>
            </w:r>
          </w:p>
        </w:tc>
        <w:tc>
          <w:tcPr>
            <w:tcW w:type="dxa" w:w="4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0" w:firstLine="0"/>
              <w:jc w:val="right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12"/>
              </w:rPr>
              <w:t xml:space="preserve">brought to you by </w:t>
            </w:r>
            <w:r>
              <w:drawing>
                <wp:inline xmlns:a="http://schemas.openxmlformats.org/drawingml/2006/main" xmlns:pic="http://schemas.openxmlformats.org/drawingml/2006/picture">
                  <wp:extent cx="114300" cy="152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CORE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220"/>
        </w:trPr>
        <w:tc>
          <w:tcPr>
            <w:tcW w:type="dxa" w:w="12240"/>
            <w:tcBorders/>
            <w:shd w:fill="b753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4" w:after="0"/>
              <w:ind w:left="0" w:right="240" w:firstLine="0"/>
              <w:jc w:val="right"/>
            </w:pPr>
            <w:r>
              <w:rPr>
                <w:rFonts w:ascii="Helvetica" w:hAnsi="Helvetica" w:eastAsia="Helvetica"/>
                <w:b w:val="0"/>
                <w:i/>
                <w:color w:val="FFFFFF"/>
                <w:sz w:val="12"/>
              </w:rPr>
              <w:t xml:space="preserve">provided by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2"/>
              </w:rPr>
              <w:t>Chapman University Digital Commons</w:t>
            </w:r>
          </w:p>
        </w:tc>
      </w:tr>
    </w:tbl>
    <w:p>
      <w:pPr>
        <w:autoSpaceDN w:val="0"/>
        <w:autoSpaceDE w:val="0"/>
        <w:widowControl/>
        <w:spacing w:line="360" w:lineRule="exact" w:before="1976" w:after="124"/>
        <w:ind w:left="1620" w:right="0" w:firstLine="0"/>
        <w:jc w:val="left"/>
      </w:pPr>
      <w:r>
        <w:rPr>
          <w:rFonts w:ascii="Arno Pro" w:hAnsi="Arno Pro" w:eastAsia="Arno Pro"/>
          <w:b/>
          <w:i w:val="0"/>
          <w:color w:val="316190"/>
          <w:sz w:val="36"/>
        </w:rPr>
        <w:hyperlink r:id="rId10" w:history="1">
          <w:r>
            <w:rPr>
              <w:rStyle w:val="Hyperlink"/>
            </w:rPr>
            <w:t>e-Research: A Journal of Undergraduate Work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6120"/>
        <w:gridCol w:w="6120"/>
      </w:tblGrid>
      <w:tr>
        <w:trPr>
          <w:trHeight w:hRule="exact" w:val="632"/>
        </w:trPr>
        <w:tc>
          <w:tcPr>
            <w:tcW w:type="dxa" w:w="5780"/>
            <w:tcBorders>
              <w:top w:sz="5.600000000000136" w:val="single" w:color="#B3B4B6"/>
              <w:bottom w:sz="6.399999999999864" w:val="single" w:color="#B3B4B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8" w:after="0"/>
              <w:ind w:left="180" w:right="2880" w:firstLine="0"/>
              <w:jc w:val="left"/>
            </w:pPr>
            <w:r>
              <w:rPr>
                <w:rFonts w:ascii="Arno Pro" w:hAnsi="Arno Pro" w:eastAsia="Arno Pro"/>
                <w:b w:val="0"/>
                <w:i w:val="0"/>
                <w:color w:val="31619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Volume 2 </w:t>
                </w:r>
              </w:hyperlink>
            </w:r>
            <w:r>
              <w:br/>
            </w:r>
            <w:r>
              <w:rPr>
                <w:rFonts w:ascii="Arno Pro" w:hAnsi="Arno Pro" w:eastAsia="Arno Pro"/>
                <w:b w:val="0"/>
                <w:i w:val="0"/>
                <w:color w:val="316190"/>
                <w:sz w:val="24"/>
              </w:rPr>
              <w:hyperlink r:id="rId12" w:history="1">
                <w:r>
                  <w:rPr>
                    <w:rStyle w:val="Hyperlink"/>
                  </w:rPr>
                  <w:t>Number 1</w:t>
                </w:r>
              </w:hyperlink>
            </w:r>
            <w:r>
              <w:rPr>
                <w:rFonts w:ascii="Arno Pro" w:hAnsi="Arno Pro" w:eastAsia="Arno Pro"/>
                <w:b w:val="0"/>
                <w:i/>
                <w:color w:val="316190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 Vol 2, No 1 (2011)</w:t>
                </w:r>
              </w:hyperlink>
            </w:r>
          </w:p>
        </w:tc>
        <w:tc>
          <w:tcPr>
            <w:tcW w:type="dxa" w:w="3940"/>
            <w:tcBorders>
              <w:top w:sz="5.600000000000136" w:val="single" w:color="#B3B4B6"/>
              <w:bottom w:sz="6.399999999999864" w:val="single" w:color="#B3B4B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0" w:after="0"/>
              <w:ind w:left="0" w:right="180" w:firstLine="0"/>
              <w:jc w:val="right"/>
            </w:pPr>
            <w:r>
              <w:rPr>
                <w:rFonts w:ascii="Arno Pro" w:hAnsi="Arno Pro" w:eastAsia="Arno Pro"/>
                <w:b w:val="0"/>
                <w:i w:val="0"/>
                <w:color w:val="316190"/>
                <w:sz w:val="24"/>
              </w:rPr>
              <w:hyperlink r:id="rId13" w:history="1">
                <w:r>
                  <w:rPr>
                    <w:rStyle w:val="Hyperlink"/>
                  </w:rPr>
                  <w:t>Article 3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0" w:lineRule="exact" w:before="564" w:after="0"/>
        <w:ind w:left="1620" w:right="0" w:firstLine="0"/>
        <w:jc w:val="left"/>
      </w:pPr>
      <w:r>
        <w:rPr>
          <w:rFonts w:ascii="Arno Pro" w:hAnsi="Arno Pro" w:eastAsia="Arno Pro"/>
          <w:b w:val="0"/>
          <w:i w:val="0"/>
          <w:color w:val="000000"/>
          <w:sz w:val="24"/>
        </w:rPr>
        <w:t>September 2014</w:t>
      </w:r>
    </w:p>
    <w:p>
      <w:pPr>
        <w:autoSpaceDN w:val="0"/>
        <w:autoSpaceDE w:val="0"/>
        <w:widowControl/>
        <w:spacing w:line="520" w:lineRule="exact" w:before="220" w:after="0"/>
        <w:ind w:left="1620" w:right="0" w:firstLine="0"/>
        <w:jc w:val="left"/>
      </w:pPr>
      <w:r>
        <w:rPr>
          <w:rFonts w:ascii="Arno Pro" w:hAnsi="Arno Pro" w:eastAsia="Arno Pro"/>
          <w:b w:val="0"/>
          <w:i w:val="0"/>
          <w:color w:val="000000"/>
          <w:sz w:val="52"/>
        </w:rPr>
        <w:t>Harry Potter as a Piece of Apocalyptic Fiction</w:t>
      </w:r>
    </w:p>
    <w:p>
      <w:pPr>
        <w:autoSpaceDN w:val="0"/>
        <w:autoSpaceDE w:val="0"/>
        <w:widowControl/>
        <w:spacing w:line="260" w:lineRule="exact" w:before="222" w:after="0"/>
        <w:ind w:left="1620" w:right="0" w:firstLine="0"/>
        <w:jc w:val="left"/>
      </w:pPr>
      <w:r>
        <w:rPr>
          <w:rFonts w:ascii="Arno Pro" w:hAnsi="Arno Pro" w:eastAsia="Arno Pro"/>
          <w:b w:val="0"/>
          <w:i w:val="0"/>
          <w:color w:val="000000"/>
          <w:sz w:val="26"/>
        </w:rPr>
        <w:t>Cambria Findley-Grubb</w:t>
      </w:r>
    </w:p>
    <w:p>
      <w:pPr>
        <w:autoSpaceDN w:val="0"/>
        <w:autoSpaceDE w:val="0"/>
        <w:widowControl/>
        <w:spacing w:line="240" w:lineRule="exact" w:before="5006" w:after="0"/>
        <w:ind w:left="1620" w:right="0" w:firstLine="0"/>
        <w:jc w:val="left"/>
      </w:pPr>
      <w:r>
        <w:rPr>
          <w:rFonts w:ascii="Arno Pro" w:hAnsi="Arno Pro" w:eastAsia="Arno Pro"/>
          <w:b w:val="0"/>
          <w:i w:val="0"/>
          <w:color w:val="000000"/>
          <w:sz w:val="24"/>
        </w:rPr>
        <w:t>Follow this and additional works at:</w:t>
      </w:r>
      <w:r>
        <w:rPr>
          <w:rFonts w:ascii="Arno Pro" w:hAnsi="Arno Pro" w:eastAsia="Arno Pro"/>
          <w:b w:val="0"/>
          <w:i w:val="0"/>
          <w:color w:val="316190"/>
          <w:sz w:val="24"/>
        </w:rPr>
        <w:t xml:space="preserve"> </w:t>
      </w:r>
      <w:r>
        <w:rPr>
          <w:rFonts w:ascii="Arno Pro" w:hAnsi="Arno Pro" w:eastAsia="Arno Pro"/>
          <w:b w:val="0"/>
          <w:i w:val="0"/>
          <w:color w:val="316190"/>
          <w:sz w:val="24"/>
        </w:rPr>
        <w:hyperlink r:id="rId10" w:history="1">
          <w:r>
            <w:rPr>
              <w:rStyle w:val="Hyperlink"/>
            </w:rPr>
            <w:t>http://digitalcommons.chapman.edu/e-Research</w:t>
          </w:r>
        </w:hyperlink>
      </w:r>
    </w:p>
    <w:p>
      <w:pPr>
        <w:autoSpaceDN w:val="0"/>
        <w:autoSpaceDE w:val="0"/>
        <w:widowControl/>
        <w:spacing w:line="240" w:lineRule="auto" w:before="0" w:after="0"/>
        <w:ind w:left="1620" w:right="1872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1450" cy="1714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no Pro" w:hAnsi="Arno Pro" w:eastAsia="Arno Pro"/>
          <w:b w:val="0"/>
          <w:i w:val="0"/>
          <w:color w:val="000000"/>
          <w:sz w:val="24"/>
        </w:rPr>
        <w:t>Part of the</w:t>
      </w:r>
      <w:r>
        <w:rPr>
          <w:rFonts w:ascii="Arno Pro" w:hAnsi="Arno Pro" w:eastAsia="Arno Pro"/>
          <w:b w:val="0"/>
          <w:i w:val="0"/>
          <w:color w:val="316190"/>
          <w:sz w:val="24"/>
        </w:rPr>
        <w:t xml:space="preserve"> </w:t>
      </w:r>
      <w:r>
        <w:rPr>
          <w:rFonts w:ascii="Arno Pro" w:hAnsi="Arno Pro" w:eastAsia="Arno Pro"/>
          <w:b w:val="0"/>
          <w:i w:val="0"/>
          <w:color w:val="316190"/>
          <w:sz w:val="24"/>
          <w:u w:val="single"/>
        </w:rPr>
        <w:hyperlink r:id="rId15" w:history="1">
          <w:r>
            <w:rPr>
              <w:rStyle w:val="Hyperlink"/>
            </w:rPr>
            <w:t>Children's and Young Adult Literature Commons</w:t>
          </w:r>
        </w:hyperlink>
      </w:r>
      <w:r>
        <w:rPr>
          <w:rFonts w:ascii="Arno Pro" w:hAnsi="Arno Pro" w:eastAsia="Arno Pro"/>
          <w:b w:val="0"/>
          <w:i w:val="0"/>
          <w:color w:val="000000"/>
          <w:sz w:val="24"/>
        </w:rPr>
        <w:t>,</w:t>
      </w:r>
      <w:r>
        <w:rPr>
          <w:rFonts w:ascii="Arno Pro" w:hAnsi="Arno Pro" w:eastAsia="Arno Pro"/>
          <w:b w:val="0"/>
          <w:i w:val="0"/>
          <w:color w:val="316190"/>
          <w:sz w:val="24"/>
        </w:rPr>
        <w:t xml:space="preserve"> </w:t>
      </w:r>
      <w:r>
        <w:rPr>
          <w:rFonts w:ascii="Arno Pro" w:hAnsi="Arno Pro" w:eastAsia="Arno Pro"/>
          <w:b w:val="0"/>
          <w:i w:val="0"/>
          <w:color w:val="316190"/>
          <w:sz w:val="24"/>
          <w:u w:val="single"/>
        </w:rPr>
        <w:hyperlink r:id="rId16" w:history="1">
          <w:r>
            <w:rPr>
              <w:rStyle w:val="Hyperlink"/>
            </w:rPr>
            <w:t>Christianity Commons</w:t>
          </w:r>
        </w:hyperlink>
      </w:r>
      <w:r>
        <w:rPr>
          <w:rFonts w:ascii="Arno Pro" w:hAnsi="Arno Pro" w:eastAsia="Arno Pro"/>
          <w:b w:val="0"/>
          <w:i w:val="0"/>
          <w:color w:val="000000"/>
          <w:sz w:val="24"/>
        </w:rPr>
        <w:t xml:space="preserve">, and the </w:t>
      </w:r>
      <w:r>
        <w:rPr>
          <w:rFonts w:ascii="Arno Pro" w:hAnsi="Arno Pro" w:eastAsia="Arno Pro"/>
          <w:b w:val="0"/>
          <w:i w:val="0"/>
          <w:color w:val="316190"/>
          <w:sz w:val="24"/>
          <w:u w:val="single"/>
        </w:rPr>
        <w:hyperlink r:id="rId17" w:history="1">
          <w:r>
            <w:rPr>
              <w:rStyle w:val="Hyperlink"/>
            </w:rPr>
            <w:t>Literature in English, British Isles Commons</w:t>
          </w:r>
        </w:hyperlink>
      </w:r>
    </w:p>
    <w:p>
      <w:pPr>
        <w:autoSpaceDN w:val="0"/>
        <w:autoSpaceDE w:val="0"/>
        <w:widowControl/>
        <w:spacing w:line="238" w:lineRule="exact" w:before="426" w:after="0"/>
        <w:ind w:left="1620" w:right="1728" w:firstLine="0"/>
        <w:jc w:val="left"/>
      </w:pPr>
      <w:r>
        <w:rPr>
          <w:rFonts w:ascii="Arno Pro" w:hAnsi="Arno Pro" w:eastAsia="Arno Pro"/>
          <w:b w:val="0"/>
          <w:i w:val="0"/>
          <w:color w:val="000000"/>
          <w:sz w:val="24"/>
        </w:rPr>
        <w:t xml:space="preserve">Recommended Citation </w:t>
      </w:r>
      <w:r>
        <w:br/>
      </w:r>
      <w:r>
        <w:rPr>
          <w:rFonts w:ascii="Arno Pro" w:hAnsi="Arno Pro" w:eastAsia="Arno Pro"/>
          <w:b w:val="0"/>
          <w:i w:val="0"/>
          <w:color w:val="000000"/>
          <w:sz w:val="18"/>
        </w:rPr>
        <w:t>Findley-Grubb, Cambria (2014) "Harry Potter as a Piece of Apocalyptic Fiction,"</w:t>
      </w:r>
      <w:r>
        <w:rPr>
          <w:rFonts w:ascii="Arno Pro" w:hAnsi="Arno Pro" w:eastAsia="Arno Pro"/>
          <w:b w:val="0"/>
          <w:i/>
          <w:color w:val="000000"/>
          <w:sz w:val="18"/>
        </w:rPr>
        <w:t xml:space="preserve"> e-Research: A Journal of Undergraduate Work</w:t>
      </w:r>
      <w:r>
        <w:rPr>
          <w:rFonts w:ascii="Arno Pro" w:hAnsi="Arno Pro" w:eastAsia="Arno Pro"/>
          <w:b w:val="0"/>
          <w:i w:val="0"/>
          <w:color w:val="000000"/>
          <w:sz w:val="18"/>
        </w:rPr>
        <w:t xml:space="preserve">: Vol. 2: </w:t>
      </w:r>
      <w:r>
        <w:rPr>
          <w:rFonts w:ascii="Arno Pro" w:hAnsi="Arno Pro" w:eastAsia="Arno Pro"/>
          <w:b w:val="0"/>
          <w:i w:val="0"/>
          <w:color w:val="000000"/>
          <w:sz w:val="18"/>
        </w:rPr>
        <w:t>No. 1, Article 3.</w:t>
      </w:r>
    </w:p>
    <w:p>
      <w:pPr>
        <w:autoSpaceDN w:val="0"/>
        <w:autoSpaceDE w:val="0"/>
        <w:widowControl/>
        <w:spacing w:line="180" w:lineRule="exact" w:before="36" w:after="0"/>
        <w:ind w:left="1620" w:right="0" w:firstLine="0"/>
        <w:jc w:val="left"/>
      </w:pPr>
      <w:r>
        <w:rPr>
          <w:rFonts w:ascii="Arno Pro" w:hAnsi="Arno Pro" w:eastAsia="Arno Pro"/>
          <w:b w:val="0"/>
          <w:i w:val="0"/>
          <w:color w:val="000000"/>
          <w:sz w:val="18"/>
        </w:rPr>
        <w:t>Available at:</w:t>
      </w:r>
      <w:r>
        <w:rPr>
          <w:rFonts w:ascii="Arno Pro" w:hAnsi="Arno Pro" w:eastAsia="Arno Pro"/>
          <w:b w:val="0"/>
          <w:i w:val="0"/>
          <w:color w:val="316190"/>
          <w:sz w:val="18"/>
        </w:rPr>
        <w:t xml:space="preserve"> </w:t>
      </w:r>
      <w:r>
        <w:rPr>
          <w:rFonts w:ascii="Arno Pro" w:hAnsi="Arno Pro" w:eastAsia="Arno Pro"/>
          <w:b w:val="0"/>
          <w:i w:val="0"/>
          <w:color w:val="316190"/>
          <w:sz w:val="18"/>
        </w:rPr>
        <w:hyperlink r:id="rId13" w:history="1">
          <w:r>
            <w:rPr>
              <w:rStyle w:val="Hyperlink"/>
            </w:rPr>
            <w:t>http://digitalcommons.chapman.edu/e-Research/vol2/iss1/3</w:t>
          </w:r>
        </w:hyperlink>
      </w:r>
    </w:p>
    <w:p>
      <w:pPr>
        <w:autoSpaceDN w:val="0"/>
        <w:autoSpaceDE w:val="0"/>
        <w:widowControl/>
        <w:spacing w:line="220" w:lineRule="exact" w:before="492" w:after="0"/>
        <w:ind w:left="1620" w:right="1728" w:firstLine="0"/>
        <w:jc w:val="left"/>
      </w:pPr>
      <w:r>
        <w:rPr>
          <w:rFonts w:ascii="Arno Pro" w:hAnsi="Arno Pro" w:eastAsia="Arno Pro"/>
          <w:b w:val="0"/>
          <w:i w:val="0"/>
          <w:color w:val="000000"/>
          <w:sz w:val="16"/>
        </w:rPr>
        <w:t xml:space="preserve">This Article is brought to you for free and open access by Chapman University Digital Commons. It has been accepted for inclusion in e-Research: A </w:t>
      </w:r>
      <w:r>
        <w:rPr>
          <w:rFonts w:ascii="Arno Pro" w:hAnsi="Arno Pro" w:eastAsia="Arno Pro"/>
          <w:b w:val="0"/>
          <w:i w:val="0"/>
          <w:color w:val="000000"/>
          <w:sz w:val="16"/>
        </w:rPr>
        <w:t xml:space="preserve">Journal of Undergraduate Work by an authorized administrator of Chapman University Digital Commons. For more information, please contact </w:t>
      </w:r>
      <w:r>
        <w:rPr>
          <w:rFonts w:ascii="Arno Pro" w:hAnsi="Arno Pro" w:eastAsia="Arno Pro"/>
          <w:b w:val="0"/>
          <w:i w:val="0"/>
          <w:color w:val="316190"/>
          <w:sz w:val="16"/>
        </w:rPr>
        <w:hyperlink r:id="rId18" w:history="1">
          <w:r>
            <w:rPr>
              <w:rStyle w:val="Hyperlink"/>
            </w:rPr>
            <w:t>laughtin@chapman.edu</w:t>
          </w:r>
        </w:hyperlink>
      </w:r>
      <w:r>
        <w:rPr>
          <w:rFonts w:ascii="Arno Pro" w:hAnsi="Arno Pro" w:eastAsia="Arno Pro"/>
          <w:b w:val="0"/>
          <w:i w:val="0"/>
          <w:color w:val="000000"/>
          <w:sz w:val="16"/>
        </w:rPr>
        <w:t>.</w:t>
      </w:r>
    </w:p>
    <w:p>
      <w:pPr>
        <w:sectPr>
          <w:pgSz w:w="12240" w:h="15840"/>
          <w:pgMar w:top="0" w:right="0" w:bottom="864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360" w:after="0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20"/>
        </w:rPr>
        <w:t>Findley-Grubb: Harry Potter as a Piece of Apocalyptic Fiction</w:t>
      </w:r>
    </w:p>
    <w:p>
      <w:pPr>
        <w:autoSpaceDN w:val="0"/>
        <w:autoSpaceDE w:val="0"/>
        <w:widowControl/>
        <w:spacing w:line="197" w:lineRule="auto" w:before="166" w:after="0"/>
        <w:ind w:left="0" w:right="139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Harry Potter as Apocalyptic Fiction </w:t>
      </w:r>
    </w:p>
    <w:p>
      <w:pPr>
        <w:autoSpaceDN w:val="0"/>
        <w:autoSpaceDE w:val="0"/>
        <w:widowControl/>
        <w:spacing w:line="320" w:lineRule="exact" w:before="426" w:after="0"/>
        <w:ind w:left="1440" w:right="0" w:firstLine="0"/>
        <w:jc w:val="left"/>
      </w:pPr>
      <w:r>
        <w:rPr>
          <w:rFonts w:ascii="Georgia" w:hAnsi="Georgia" w:eastAsia="Georgia"/>
          <w:b w:val="0"/>
          <w:i w:val="0"/>
          <w:color w:val="080808"/>
          <w:sz w:val="24"/>
        </w:rPr>
        <w:t xml:space="preserve">e-Research: A Journal of Undergraduate Work, Vol 2, No 1 (2011) </w:t>
      </w:r>
    </w:p>
    <w:p>
      <w:pPr>
        <w:autoSpaceDN w:val="0"/>
        <w:autoSpaceDE w:val="0"/>
        <w:widowControl/>
        <w:spacing w:line="220" w:lineRule="exact" w:before="204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9A313A"/>
          <w:sz w:val="16"/>
        </w:rPr>
        <w:hyperlink r:id="rId19" w:history="1">
          <w:r>
            <w:rPr>
              <w:rStyle w:val="Hyperlink"/>
            </w:rPr>
            <w:t>HOME</w:t>
          </w:r>
        </w:hyperlink>
      </w:r>
      <w:r>
        <w:rPr>
          <w:rFonts w:ascii="Verdana" w:hAnsi="Verdana" w:eastAsia="Verdana"/>
          <w:b w:val="0"/>
          <w:i w:val="0"/>
          <w:color w:val="9A313A"/>
          <w:sz w:val="16"/>
        </w:rPr>
        <w:hyperlink r:id="rId20" w:history="1">
          <w:r>
            <w:rPr>
              <w:rStyle w:val="Hyperlink"/>
            </w:rPr>
            <w:t>ABOUT</w:t>
          </w:r>
        </w:hyperlink>
      </w:r>
      <w:r>
        <w:rPr>
          <w:rFonts w:ascii="Verdana" w:hAnsi="Verdana" w:eastAsia="Verdana"/>
          <w:b w:val="0"/>
          <w:i w:val="0"/>
          <w:color w:val="9A313A"/>
          <w:sz w:val="16"/>
        </w:rPr>
        <w:hyperlink r:id="rId21" w:history="1">
          <w:r>
            <w:rPr>
              <w:rStyle w:val="Hyperlink"/>
            </w:rPr>
            <w:t>LOGIN</w:t>
          </w:r>
        </w:hyperlink>
      </w:r>
      <w:r>
        <w:rPr>
          <w:rFonts w:ascii="Verdana" w:hAnsi="Verdana" w:eastAsia="Verdana"/>
          <w:b w:val="0"/>
          <w:i w:val="0"/>
          <w:color w:val="9A313A"/>
          <w:sz w:val="16"/>
        </w:rPr>
        <w:hyperlink r:id="rId22" w:history="1">
          <w:r>
            <w:rPr>
              <w:rStyle w:val="Hyperlink"/>
            </w:rPr>
            <w:t>REGISTER</w:t>
          </w:r>
        </w:hyperlink>
      </w:r>
      <w:r>
        <w:rPr>
          <w:rFonts w:ascii="Verdana" w:hAnsi="Verdana" w:eastAsia="Verdana"/>
          <w:b w:val="0"/>
          <w:i w:val="0"/>
          <w:color w:val="9A313A"/>
          <w:sz w:val="16"/>
        </w:rPr>
        <w:hyperlink r:id="rId23" w:history="1">
          <w:r>
            <w:rPr>
              <w:rStyle w:val="Hyperlink"/>
            </w:rPr>
            <w:t>SEARCH</w:t>
          </w:r>
        </w:hyperlink>
      </w:r>
      <w:r>
        <w:rPr>
          <w:rFonts w:ascii="Verdana" w:hAnsi="Verdana" w:eastAsia="Verdana"/>
          <w:b w:val="0"/>
          <w:i w:val="0"/>
          <w:color w:val="9A313A"/>
          <w:sz w:val="16"/>
        </w:rPr>
        <w:hyperlink r:id="rId24" w:history="1">
          <w:r>
            <w:rPr>
              <w:rStyle w:val="Hyperlink"/>
            </w:rPr>
            <w:t>CURRENT</w:t>
          </w:r>
        </w:hyperlink>
      </w:r>
      <w:r>
        <w:rPr>
          <w:rFonts w:ascii="Verdana" w:hAnsi="Verdana" w:eastAsia="Verdana"/>
          <w:b w:val="0"/>
          <w:i w:val="0"/>
          <w:color w:val="9A313A"/>
          <w:sz w:val="16"/>
        </w:rPr>
        <w:hyperlink r:id="rId25" w:history="1">
          <w:r>
            <w:rPr>
              <w:rStyle w:val="Hyperlink"/>
            </w:rPr>
            <w:t>ARCHIVES</w:t>
          </w:r>
        </w:hyperlink>
      </w:r>
    </w:p>
    <w:p>
      <w:pPr>
        <w:autoSpaceDN w:val="0"/>
        <w:autoSpaceDE w:val="0"/>
        <w:widowControl/>
        <w:spacing w:line="236" w:lineRule="exact" w:before="172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9A313A"/>
          <w:sz w:val="17"/>
        </w:rPr>
        <w:hyperlink r:id="rId19" w:history="1">
          <w:r>
            <w:rPr>
              <w:rStyle w:val="Hyperlink"/>
            </w:rPr>
            <w:t>Home</w:t>
          </w:r>
        </w:hyperlink>
      </w:r>
      <w:r>
        <w:rPr>
          <w:rFonts w:ascii="Verdana" w:hAnsi="Verdana" w:eastAsia="Verdana"/>
          <w:b w:val="0"/>
          <w:i w:val="0"/>
          <w:color w:val="080808"/>
          <w:sz w:val="17"/>
        </w:rPr>
        <w:t xml:space="preserve"> </w:t>
      </w:r>
      <w:r>
        <w:rPr>
          <w:rFonts w:ascii="Verdana" w:hAnsi="Verdana" w:eastAsia="Verdana"/>
          <w:b w:val="0"/>
          <w:i w:val="0"/>
          <w:color w:val="080808"/>
          <w:sz w:val="17"/>
        </w:rPr>
        <w:t xml:space="preserve">&gt; </w:t>
      </w:r>
      <w:r>
        <w:rPr>
          <w:rFonts w:ascii="Verdana" w:hAnsi="Verdana" w:eastAsia="Verdana"/>
          <w:b w:val="0"/>
          <w:i w:val="0"/>
          <w:color w:val="9A313A"/>
          <w:sz w:val="17"/>
        </w:rPr>
        <w:hyperlink r:id="rId20" w:history="1">
          <w:r>
            <w:rPr>
              <w:rStyle w:val="Hyperlink"/>
            </w:rPr>
            <w:t>Vol 2, N</w:t>
          </w:r>
        </w:hyperlink>
      </w:r>
      <w:r>
        <w:rPr>
          <w:rFonts w:ascii="Verdana" w:hAnsi="Verdana" w:eastAsia="Verdana"/>
          <w:b w:val="0"/>
          <w:i w:val="0"/>
          <w:color w:val="9A313A"/>
          <w:sz w:val="17"/>
        </w:rPr>
        <w:hyperlink r:id="rId26" w:history="1">
          <w:r>
            <w:rPr>
              <w:rStyle w:val="Hyperlink"/>
            </w:rPr>
            <w:t xml:space="preserve">o </w:t>
          </w:r>
        </w:hyperlink>
      </w:r>
      <w:r>
        <w:rPr>
          <w:rFonts w:ascii="Verdana" w:hAnsi="Verdana" w:eastAsia="Verdana"/>
          <w:b w:val="0"/>
          <w:i w:val="0"/>
          <w:color w:val="9A313A"/>
          <w:sz w:val="17"/>
        </w:rPr>
        <w:hyperlink r:id="rId21" w:history="1">
          <w:r>
            <w:rPr>
              <w:rStyle w:val="Hyperlink"/>
            </w:rPr>
            <w:t>1 (2011</w:t>
          </w:r>
        </w:hyperlink>
      </w:r>
      <w:r>
        <w:rPr>
          <w:rFonts w:ascii="Verdana" w:hAnsi="Verdana" w:eastAsia="Verdana"/>
          <w:b w:val="0"/>
          <w:i w:val="0"/>
          <w:color w:val="9A313A"/>
          <w:sz w:val="17"/>
        </w:rPr>
        <w:hyperlink r:id="rId26" w:history="1">
          <w:r>
            <w:rPr>
              <w:rStyle w:val="Hyperlink"/>
            </w:rPr>
            <w:t>)</w:t>
          </w:r>
        </w:hyperlink>
      </w:r>
      <w:r>
        <w:rPr>
          <w:rFonts w:ascii="Verdana" w:hAnsi="Verdana" w:eastAsia="Verdana"/>
          <w:b w:val="0"/>
          <w:i w:val="0"/>
          <w:color w:val="080808"/>
          <w:sz w:val="17"/>
        </w:rPr>
        <w:t xml:space="preserve"> </w:t>
      </w:r>
      <w:r>
        <w:rPr>
          <w:rFonts w:ascii="Verdana" w:hAnsi="Verdana" w:eastAsia="Verdana"/>
          <w:b w:val="0"/>
          <w:i w:val="0"/>
          <w:color w:val="080808"/>
          <w:sz w:val="17"/>
        </w:rPr>
        <w:hyperlink r:id="rId22" w:history="1">
          <w:r>
            <w:rPr>
              <w:rStyle w:val="Hyperlink"/>
            </w:rPr>
            <w:t>&gt;</w:t>
          </w:r>
        </w:hyperlink>
      </w:r>
      <w:r>
        <w:rPr>
          <w:rFonts w:ascii="Verdana" w:hAnsi="Verdana" w:eastAsia="Verdana"/>
          <w:b w:val="0"/>
          <w:i w:val="0"/>
          <w:color w:val="080808"/>
          <w:sz w:val="17"/>
        </w:rPr>
        <w:t xml:space="preserve"> </w:t>
      </w:r>
      <w:r>
        <w:rPr>
          <w:rFonts w:ascii="Verdana" w:hAnsi="Verdana" w:eastAsia="Verdana"/>
          <w:b/>
          <w:i w:val="0"/>
          <w:color w:val="9A313A"/>
          <w:sz w:val="17"/>
        </w:rPr>
        <w:hyperlink r:id="rId22" w:history="1">
          <w:r>
            <w:rPr>
              <w:rStyle w:val="Hyperlink"/>
            </w:rPr>
            <w:t>Findley-G</w:t>
          </w:r>
        </w:hyperlink>
      </w:r>
      <w:r>
        <w:rPr>
          <w:rFonts w:ascii="Verdana" w:hAnsi="Verdana" w:eastAsia="Verdana"/>
          <w:b/>
          <w:i w:val="0"/>
          <w:color w:val="9A313A"/>
          <w:sz w:val="17"/>
        </w:rPr>
        <w:hyperlink r:id="rId27" w:history="1">
          <w:r>
            <w:rPr>
              <w:rStyle w:val="Hyperlink"/>
            </w:rPr>
            <w:t>r</w:t>
          </w:r>
        </w:hyperlink>
      </w:r>
      <w:r>
        <w:rPr>
          <w:rFonts w:ascii="Verdana" w:hAnsi="Verdana" w:eastAsia="Verdana"/>
          <w:b/>
          <w:i w:val="0"/>
          <w:color w:val="9A313A"/>
          <w:sz w:val="17"/>
        </w:rPr>
        <w:hyperlink r:id="rId23" w:history="1">
          <w:r>
            <w:rPr>
              <w:rStyle w:val="Hyperlink"/>
            </w:rPr>
            <w:t>ubb</w:t>
          </w:r>
        </w:hyperlink>
      </w:r>
    </w:p>
    <w:p>
      <w:pPr>
        <w:autoSpaceDN w:val="0"/>
        <w:autoSpaceDE w:val="0"/>
        <w:widowControl/>
        <w:spacing w:line="240" w:lineRule="auto" w:before="34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2390" cy="177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177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59" cy="177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1778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1778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1778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1778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59" cy="1778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1778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1778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59" cy="1778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1778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1778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1778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09219" cy="1778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21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09219" cy="1778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21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09219" cy="1778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21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1778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59" cy="1778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1778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7779" cy="17780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76" w:after="0"/>
        <w:ind w:left="1440" w:right="0" w:firstLine="0"/>
        <w:jc w:val="left"/>
      </w:pPr>
      <w:r>
        <w:rPr>
          <w:rFonts w:ascii="Calibri" w:hAnsi="Calibri" w:eastAsia="Calibri"/>
          <w:b/>
          <w:i w:val="0"/>
          <w:color w:val="080808"/>
          <w:sz w:val="28"/>
        </w:rPr>
        <w:t>Harry Potter as a Piece of Apocalyptic Fiction</w:t>
      </w:r>
    </w:p>
    <w:p>
      <w:pPr>
        <w:autoSpaceDN w:val="0"/>
        <w:autoSpaceDE w:val="0"/>
        <w:widowControl/>
        <w:spacing w:line="197" w:lineRule="auto" w:before="466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4"/>
        </w:rPr>
        <w:t>Cambria Findley-Grubb</w:t>
      </w:r>
    </w:p>
    <w:p>
      <w:pPr>
        <w:autoSpaceDN w:val="0"/>
        <w:autoSpaceDE w:val="0"/>
        <w:widowControl/>
        <w:spacing w:line="197" w:lineRule="auto" w:before="4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Key Words, Concepts, and Names: Harry Potter, Order of the Phoenix, Apocalyptic Literature, Apocalypse, </w:t>
      </w:r>
    </w:p>
    <w:p>
      <w:pPr>
        <w:autoSpaceDN w:val="0"/>
        <w:autoSpaceDE w:val="0"/>
        <w:widowControl/>
        <w:spacing w:line="194" w:lineRule="auto" w:before="142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Armageddon, J.K. Rowling, Christianity, Revelation, Symbolism, Righteous Remnant, Dualism, Prophecy, Bible</w:t>
      </w:r>
    </w:p>
    <w:p>
      <w:pPr>
        <w:autoSpaceDN w:val="0"/>
        <w:autoSpaceDE w:val="0"/>
        <w:widowControl/>
        <w:spacing w:line="197" w:lineRule="auto" w:before="4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J.K. Rowling's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series remains one of the most popular series ever created, loved by adults and children </w:t>
      </w:r>
    </w:p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alike. The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series has been translated into over thirty languages in more than one hundred and thirty </w:t>
      </w:r>
    </w:p>
    <w:p>
      <w:pPr>
        <w:autoSpaceDN w:val="0"/>
        <w:autoSpaceDE w:val="0"/>
        <w:widowControl/>
        <w:spacing w:line="194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countries (Killinger 2). This series has spawned a billion dollar industry eight movies, merchandise including shirts, </w:t>
      </w:r>
    </w:p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cloaks, wands, and bobble heads, an intercollegiate muggle quidditch league, and a multimillion-dollar amusement </w:t>
      </w:r>
    </w:p>
    <w:p>
      <w:pPr>
        <w:autoSpaceDN w:val="0"/>
        <w:autoSpaceDE w:val="0"/>
        <w:widowControl/>
        <w:spacing w:line="194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park attraction However, despite its increasing popularity and fandom,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remains a highly controversial </w:t>
      </w:r>
    </w:p>
    <w:p>
      <w:pPr>
        <w:autoSpaceDN w:val="0"/>
        <w:autoSpaceDE w:val="0"/>
        <w:widowControl/>
        <w:spacing w:line="197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book among fundamentalist religious groups because of its involvement in the world of witches, wizards, and </w:t>
      </w:r>
    </w:p>
    <w:p>
      <w:pPr>
        <w:autoSpaceDN w:val="0"/>
        <w:autoSpaceDE w:val="0"/>
        <w:widowControl/>
        <w:spacing w:line="194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magic. Groups such as these often quote the biblical book of Revelation to condemn the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books, </w:t>
      </w:r>
    </w:p>
    <w:p>
      <w:pPr>
        <w:autoSpaceDN w:val="0"/>
        <w:autoSpaceDE w:val="0"/>
        <w:widowControl/>
        <w:spacing w:line="197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particularly Revelation 21:8 which states "[...] those who practice magic arts, the idolaters and all liars-their place </w:t>
      </w:r>
    </w:p>
    <w:p>
      <w:pPr>
        <w:autoSpaceDN w:val="0"/>
        <w:autoSpaceDE w:val="0"/>
        <w:widowControl/>
        <w:spacing w:line="194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will be in the fiery lake of burning sulfur. This is the second death." Despite the use of the book of Revelation to </w:t>
      </w:r>
    </w:p>
    <w:p>
      <w:pPr>
        <w:autoSpaceDN w:val="0"/>
        <w:autoSpaceDE w:val="0"/>
        <w:widowControl/>
        <w:spacing w:line="197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rebuke the </w:t>
      </w:r>
      <w:r>
        <w:rPr>
          <w:rFonts w:ascii="Calibri" w:hAnsi="Calibri" w:eastAsia="Calibri"/>
          <w:b w:val="0"/>
          <w:i/>
          <w:color w:val="080808"/>
          <w:sz w:val="20"/>
        </w:rPr>
        <w:t xml:space="preserve">Harry Potter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series, few have actually analyzed the parallels between the two books. In fact, </w:t>
      </w:r>
      <w:r>
        <w:rPr>
          <w:rFonts w:ascii="Calibri" w:hAnsi="Calibri" w:eastAsia="Calibri"/>
          <w:b w:val="0"/>
          <w:i/>
          <w:color w:val="080808"/>
          <w:sz w:val="20"/>
        </w:rPr>
        <w:t xml:space="preserve">Harry </w:t>
      </w:r>
    </w:p>
    <w:p>
      <w:pPr>
        <w:autoSpaceDN w:val="0"/>
        <w:autoSpaceDE w:val="0"/>
        <w:widowControl/>
        <w:spacing w:line="197" w:lineRule="auto" w:before="140" w:after="0"/>
        <w:ind w:left="0" w:right="0" w:firstLine="0"/>
        <w:jc w:val="center"/>
      </w:pPr>
      <w:r>
        <w:rPr>
          <w:rFonts w:ascii="Calibri" w:hAnsi="Calibri" w:eastAsia="Calibri"/>
          <w:b w:val="0"/>
          <w:i/>
          <w:color w:val="080808"/>
          <w:sz w:val="20"/>
        </w:rPr>
        <w:t>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itself holds many of the characteristics prevalent in intertestamental apocalyptic literature. These </w:t>
      </w:r>
    </w:p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characteristics include but are not limited to symbolism, pessimism, the world shaking at the foundations, dualism, </w:t>
      </w:r>
    </w:p>
    <w:p>
      <w:pPr>
        <w:autoSpaceDN w:val="0"/>
        <w:autoSpaceDE w:val="0"/>
        <w:widowControl/>
        <w:spacing w:line="197" w:lineRule="auto" w:before="14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the presence of a righteous remnant, prophecy and determinism, and triumph of God. This essay will analyze the </w:t>
      </w:r>
    </w:p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presence of these characteristics, as well as sacrificial love in the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novels, specifically focusing on the </w:t>
      </w:r>
    </w:p>
    <w:p>
      <w:pPr>
        <w:autoSpaceDN w:val="0"/>
        <w:autoSpaceDE w:val="0"/>
        <w:widowControl/>
        <w:spacing w:line="197" w:lineRule="auto" w:before="14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fifth book, </w:t>
      </w:r>
      <w:r>
        <w:rPr>
          <w:rFonts w:ascii="Calibri" w:hAnsi="Calibri" w:eastAsia="Calibri"/>
          <w:b w:val="0"/>
          <w:i w:val="0"/>
          <w:color w:val="080808"/>
          <w:sz w:val="20"/>
          <w:u w:val="single"/>
        </w:rPr>
        <w:t>Harry Potter and the Order of the Phoenix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. This essay is a preliminary study and will later be expanded </w:t>
      </w:r>
    </w:p>
    <w:p>
      <w:pPr>
        <w:autoSpaceDN w:val="0"/>
        <w:autoSpaceDE w:val="0"/>
        <w:widowControl/>
        <w:spacing w:line="197" w:lineRule="auto" w:before="144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regarding all seven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novels.</w:t>
      </w:r>
    </w:p>
    <w:p>
      <w:pPr>
        <w:autoSpaceDN w:val="0"/>
        <w:autoSpaceDE w:val="0"/>
        <w:widowControl/>
        <w:spacing w:line="194" w:lineRule="auto" w:before="422" w:after="0"/>
        <w:ind w:left="1440" w:right="0" w:firstLine="0"/>
        <w:jc w:val="left"/>
      </w:pPr>
      <w:r>
        <w:rPr>
          <w:rFonts w:ascii="Calibri" w:hAnsi="Calibri" w:eastAsia="Calibri"/>
          <w:b/>
          <w:i w:val="0"/>
          <w:color w:val="080808"/>
          <w:sz w:val="20"/>
        </w:rPr>
        <w:t>Symbolism</w:t>
      </w:r>
    </w:p>
    <w:p>
      <w:pPr>
        <w:autoSpaceDN w:val="0"/>
        <w:autoSpaceDE w:val="0"/>
        <w:widowControl/>
        <w:spacing w:line="194" w:lineRule="auto" w:before="4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In keeping with apocalyptic characteristics, J.K. Rowling employs various symbols in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. Many of the </w:t>
      </w:r>
    </w:p>
    <w:p>
      <w:pPr>
        <w:autoSpaceDN w:val="0"/>
        <w:autoSpaceDE w:val="0"/>
        <w:widowControl/>
        <w:spacing w:line="197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creatures created in the fantastic world of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act as symbols of good and evil. The Phoenix, Fawkes, is a </w:t>
      </w:r>
    </w:p>
    <w:p>
      <w:pPr>
        <w:autoSpaceDN w:val="0"/>
        <w:autoSpaceDE w:val="0"/>
        <w:widowControl/>
        <w:spacing w:line="194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symbol of good, which represents resurrection, loyalty and courage. These attributes are seen in the second novel </w:t>
      </w:r>
    </w:p>
    <w:p>
      <w:pPr>
        <w:autoSpaceDN w:val="0"/>
        <w:autoSpaceDE w:val="0"/>
        <w:widowControl/>
        <w:spacing w:line="197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when Fawkes rescues Harry from a Basilisk (a giant snake) by risking his own life blinding the serpent. The job of </w:t>
      </w:r>
    </w:p>
    <w:p>
      <w:pPr>
        <w:autoSpaceDN w:val="0"/>
        <w:autoSpaceDE w:val="0"/>
        <w:widowControl/>
        <w:spacing w:line="197" w:lineRule="auto" w:before="14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Auror, is another good representation of positive symbolism as it arises from the word "dawn" and represents </w:t>
      </w:r>
    </w:p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those who fight off the darkness (Spencer). The Aurors in the novel are those who fight off Voldemort and the </w:t>
      </w:r>
    </w:p>
    <w:p>
      <w:pPr>
        <w:autoSpaceDN w:val="0"/>
        <w:autoSpaceDE w:val="0"/>
        <w:widowControl/>
        <w:spacing w:line="197" w:lineRule="auto" w:before="140" w:after="706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forces of darkness throughout the series. Rowling also uses many samples of negative symbolism in her novel, such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4080"/>
        <w:gridCol w:w="4080"/>
        <w:gridCol w:w="4080"/>
      </w:tblGrid>
      <w:tr>
        <w:trPr>
          <w:trHeight w:hRule="exact" w:val="328"/>
        </w:trPr>
        <w:tc>
          <w:tcPr>
            <w:tcW w:type="dxa" w:w="6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2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Copyright © 2011 C. Findley-Grubb </w:t>
            </w:r>
          </w:p>
        </w:tc>
        <w:tc>
          <w:tcPr>
            <w:tcW w:type="dxa" w:w="5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4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e-Research, Vol 2, No 1 (2011)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380" w:after="0"/>
              <w:ind w:left="0" w:right="220" w:firstLine="0"/>
              <w:jc w:val="right"/>
            </w:pPr>
            <w:r>
              <w:rPr>
                <w:rFonts w:ascii="AdobeThai" w:hAnsi="AdobeThai" w:eastAsia="AdobeThai"/>
                <w:b w:val="0"/>
                <w:i w:val="0"/>
                <w:color w:val="000000"/>
                <w:sz w:val="20"/>
              </w:rPr>
              <w:t>1</w:t>
            </w:r>
          </w:p>
        </w:tc>
      </w:tr>
      <w:tr>
        <w:trPr>
          <w:trHeight w:hRule="exact" w:val="328"/>
        </w:trPr>
        <w:tc>
          <w:tcPr>
            <w:tcW w:type="dxa" w:w="6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2" w:after="0"/>
              <w:ind w:left="220" w:right="0" w:firstLine="0"/>
              <w:jc w:val="left"/>
            </w:pPr>
            <w:r>
              <w:rPr>
                <w:rFonts w:ascii="AdobeThai" w:hAnsi="AdobeThai" w:eastAsia="AdobeThai"/>
                <w:b w:val="0"/>
                <w:i w:val="0"/>
                <w:color w:val="000000"/>
                <w:sz w:val="20"/>
              </w:rPr>
              <w:t>Published by Chapman University Digital Commons, 2014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360" w:after="0"/>
        <w:ind w:left="0" w:right="0" w:firstLine="0"/>
        <w:jc w:val="center"/>
      </w:pPr>
      <w:r>
        <w:rPr>
          <w:rFonts w:ascii="AdobeThai" w:hAnsi="AdobeThai" w:eastAsia="AdobeThai"/>
          <w:b w:val="0"/>
          <w:i/>
          <w:color w:val="000000"/>
          <w:sz w:val="20"/>
        </w:rPr>
        <w:t>e-Research: A Journal of Undergraduate Work, Vol. 2, No. 1 [2014], Art. 3</w:t>
      </w:r>
    </w:p>
    <w:p>
      <w:pPr>
        <w:autoSpaceDN w:val="0"/>
        <w:autoSpaceDE w:val="0"/>
        <w:widowControl/>
        <w:spacing w:line="197" w:lineRule="auto" w:before="166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C. Findley-Grubb </w:t>
      </w:r>
    </w:p>
    <w:p>
      <w:pPr>
        <w:autoSpaceDN w:val="0"/>
        <w:autoSpaceDE w:val="0"/>
        <w:widowControl/>
        <w:spacing w:line="319" w:lineRule="auto" w:before="498" w:after="0"/>
        <w:ind w:left="1440" w:right="1394" w:firstLine="0"/>
        <w:jc w:val="both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as giants. In the Bible, giants are commonly associated with evil and destruction. This idea is reiterated in </w:t>
      </w:r>
      <w:r>
        <w:rPr>
          <w:rFonts w:ascii="Calibri" w:hAnsi="Calibri" w:eastAsia="Calibri"/>
          <w:b w:val="0"/>
          <w:i/>
          <w:color w:val="080808"/>
          <w:sz w:val="20"/>
        </w:rPr>
        <w:t xml:space="preserve">Harry </w:t>
      </w:r>
      <w:r>
        <w:rPr>
          <w:rFonts w:ascii="Calibri" w:hAnsi="Calibri" w:eastAsia="Calibri"/>
          <w:b w:val="0"/>
          <w:i/>
          <w:color w:val="080808"/>
          <w:sz w:val="20"/>
        </w:rPr>
        <w:t>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when many of the giants slaughter their own kind and join the Dark Lord. Another instance of negative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symbolism is seen in the Dementors. These creatures feed off human fear and cause despair to everyone around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them. However, Rowling's use of mixed illustrations of symbolism to demonstrate the lines between good and evil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are not always sharply drawn and first impressions cannot always be relied upon. For instance, Thestrals are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creatures who can only be seen by people who have seen death. Upon first consideration, this may be seen as a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bad omen because of its connection with death. However, throughout the novel Thestrals demonstrate </w:t>
      </w:r>
      <w:r>
        <w:rPr>
          <w:rFonts w:ascii="Calibri" w:hAnsi="Calibri" w:eastAsia="Calibri"/>
          <w:b w:val="0"/>
          <w:i w:val="0"/>
          <w:color w:val="080808"/>
          <w:sz w:val="20"/>
        </w:rPr>
        <w:t>themselves to be fiercely loyal and brilliant.</w:t>
      </w:r>
    </w:p>
    <w:p>
      <w:pPr>
        <w:autoSpaceDN w:val="0"/>
        <w:autoSpaceDE w:val="0"/>
        <w:widowControl/>
        <w:spacing w:line="329" w:lineRule="auto" w:before="422" w:after="0"/>
        <w:ind w:left="1440" w:right="1394" w:firstLine="0"/>
        <w:jc w:val="both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J.K. Rowling further uses symbolism in naming her characters in order to demonstrate personality traits. Albus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[Dumbledore] comes from the Spanish word "alba" meaning white or dawn. This meaning is important because it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places Dumbledore in direct opposition to darkness or evil. Voldemort's name is also very telling. In French "Vole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de mort" means "flight from death," which coincides with Voldemort's quest for immortality during the first four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books of the series. Bellatrix, Voldemort's right hand, means female warrior. However, in direct opposition to this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is Minerva McGonagall, who serves as Bellatrix's foil. Unlike Bellatrix, who prides herself on her fighting ability,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Minerva prides herself on her wisdom and teaching the future generations. This is perhaps why Rowling named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her after the Roman goddess of wisdom. Another example of name symbolism is Dolores Umbridge, whose first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name derives from the Spanish word pain. Her last name is a homophone of "umbrage" which means a feeling of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pique or resentment at some often fancied slight or insult (Spencer). These two names accurately portray the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student's feelings regarding Professor Umbridge. Throughout </w:t>
      </w:r>
      <w:r>
        <w:rPr>
          <w:rFonts w:ascii="Calibri" w:hAnsi="Calibri" w:eastAsia="Calibri"/>
          <w:b w:val="0"/>
          <w:i w:val="0"/>
          <w:color w:val="080808"/>
          <w:sz w:val="20"/>
          <w:u w:val="single"/>
        </w:rPr>
        <w:t>The Order of the Phoenix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, Cornelius Fudge convinces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the Ministry of Magic to ignore the obvious signs that Voldemort has returned to power. His name, meaning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"evade or dodge," accurately represents his treatment of this crucial information throughout the fifth book. The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last two important pieces of name symbolism in the book are Petunia Dursely, Harry's aunt, and Lily Potter, Harry's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mother. While both are named after flowers, the petunia symbolizes anger and resentment, while the lily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symbolizes innocence and purity. The lily is also a flower associated with Easter, apropos because of Lily's sacrificial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love to save her son (Spencer). </w:t>
      </w:r>
    </w:p>
    <w:p>
      <w:pPr>
        <w:autoSpaceDN w:val="0"/>
        <w:autoSpaceDE w:val="0"/>
        <w:widowControl/>
        <w:spacing w:line="319" w:lineRule="auto" w:before="422" w:after="0"/>
        <w:ind w:left="1440" w:right="1394" w:firstLine="0"/>
        <w:jc w:val="both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Numerology is another critical instance of symbolism used in the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novels. For example, the </w:t>
      </w:r>
      <w:r>
        <w:rPr>
          <w:rFonts w:ascii="Calibri" w:hAnsi="Calibri" w:eastAsia="Calibri"/>
          <w:b w:val="0"/>
          <w:i/>
          <w:color w:val="080808"/>
          <w:sz w:val="20"/>
        </w:rPr>
        <w:t xml:space="preserve">Harry </w:t>
      </w:r>
      <w:r>
        <w:rPr>
          <w:rFonts w:ascii="Calibri" w:hAnsi="Calibri" w:eastAsia="Calibri"/>
          <w:b w:val="0"/>
          <w:i/>
          <w:color w:val="080808"/>
          <w:sz w:val="20"/>
        </w:rPr>
        <w:t>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series contains seven novels. In numerology, seven is the divine number. Further, in </w:t>
      </w:r>
      <w:r>
        <w:rPr>
          <w:rFonts w:ascii="Calibri" w:hAnsi="Calibri" w:eastAsia="Calibri"/>
          <w:b w:val="0"/>
          <w:i w:val="0"/>
          <w:color w:val="080808"/>
          <w:sz w:val="20"/>
          <w:u w:val="single"/>
        </w:rPr>
        <w:t>Harry Potter and the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</w:t>
      </w:r>
      <w:r>
        <w:rPr>
          <w:rFonts w:ascii="Calibri" w:hAnsi="Calibri" w:eastAsia="Calibri"/>
          <w:b w:val="0"/>
          <w:i w:val="0"/>
          <w:color w:val="080808"/>
          <w:sz w:val="20"/>
          <w:u w:val="single"/>
        </w:rPr>
        <w:t>Deathly Hallows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, Tom Riddle states, "Isn't seven the most powerfully magic number?" Harry escapes death from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Lord Voldemort seven times during the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series. Another instance of seven occurs in the prophecy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which states, "The one with the power to vanquish the Dark Lord will be born as the seventh month dies." This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equating of Harry with the divine number seven may demonstrate he is more than an average teenage boy.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Further references to seven in the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series include the seven Weasley children, seven secret passages at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Hogwarts, seven horcruxes, and attending school at Hogwarts for seven years. </w:t>
      </w:r>
    </w:p>
    <w:p>
      <w:pPr>
        <w:autoSpaceDN w:val="0"/>
        <w:autoSpaceDE w:val="0"/>
        <w:widowControl/>
        <w:spacing w:line="266" w:lineRule="auto" w:before="422" w:after="0"/>
        <w:ind w:left="1440" w:right="1296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In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, the numbers four and twelve also play a representative role. Hogwarts is represented by four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houses: Gryffindor, Ravenclaw, Hufflepuff, and Slytherin. As Ronald Farmer documents in his commentary, in </w:t>
      </w:r>
    </w:p>
    <w:p>
      <w:pPr>
        <w:autoSpaceDN w:val="0"/>
        <w:autoSpaceDE w:val="0"/>
        <w:widowControl/>
        <w:spacing w:line="197" w:lineRule="auto" w:before="476" w:after="0"/>
        <w:ind w:left="144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4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 e-Research, Vol 2, No 1 (2011)</w:t>
      </w:r>
    </w:p>
    <w:p>
      <w:pPr>
        <w:autoSpaceDN w:val="0"/>
        <w:tabs>
          <w:tab w:pos="11722" w:val="left"/>
        </w:tabs>
        <w:autoSpaceDE w:val="0"/>
        <w:widowControl/>
        <w:spacing w:line="236" w:lineRule="exact" w:before="376" w:after="0"/>
        <w:ind w:left="440" w:right="0" w:firstLine="0"/>
        <w:jc w:val="left"/>
      </w:pPr>
      <w:r>
        <w:rPr>
          <w:rFonts w:ascii="AdobeThai" w:hAnsi="AdobeThai" w:eastAsia="AdobeThai"/>
          <w:b w:val="0"/>
          <w:i w:val="0"/>
          <w:color w:val="000000"/>
          <w:sz w:val="20"/>
        </w:rPr>
        <w:t xml:space="preserve">http://digitalcommons.chapman.edu/e-Research/vol2/iss1/3 </w:t>
      </w:r>
      <w:r>
        <w:tab/>
      </w:r>
      <w:r>
        <w:rPr>
          <w:rFonts w:ascii="AdobeThai" w:hAnsi="AdobeThai" w:eastAsia="AdobeThai"/>
          <w:b w:val="0"/>
          <w:i w:val="0"/>
          <w:color w:val="000000"/>
          <w:sz w:val="20"/>
        </w:rPr>
        <w:t>2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360" w:after="0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20"/>
        </w:rPr>
        <w:t>Findley-Grubb: Harry Potter as a Piece of Apocalyptic Fiction</w:t>
      </w:r>
    </w:p>
    <w:p>
      <w:pPr>
        <w:autoSpaceDN w:val="0"/>
        <w:autoSpaceDE w:val="0"/>
        <w:widowControl/>
        <w:spacing w:line="197" w:lineRule="auto" w:before="166" w:after="0"/>
        <w:ind w:left="0" w:right="139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Harry Potter as Apocalyptic Fiction </w:t>
      </w:r>
    </w:p>
    <w:p>
      <w:pPr>
        <w:autoSpaceDN w:val="0"/>
        <w:autoSpaceDE w:val="0"/>
        <w:widowControl/>
        <w:spacing w:line="310" w:lineRule="auto" w:before="498" w:after="0"/>
        <w:ind w:left="1440" w:right="1396" w:firstLine="0"/>
        <w:jc w:val="both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numerology four is the cosmic number (4 seasons, 4 directions), so the number of houses at Hogwarts being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represented by the number four is of obvious significance. In </w:t>
      </w:r>
      <w:r>
        <w:rPr>
          <w:rFonts w:ascii="Calibri" w:hAnsi="Calibri" w:eastAsia="Calibri"/>
          <w:b w:val="0"/>
          <w:i w:val="0"/>
          <w:color w:val="080808"/>
          <w:sz w:val="20"/>
          <w:u w:val="single"/>
        </w:rPr>
        <w:t>Harry Potter and the Order of the Phoenix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, twelve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plays a particularly important role because of twelve Grimmauld Place, which is the headquarters of the Order of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the Phoenix. It is at this location that the resistance gathers, and represents the will of all people coming together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against Voldemort. Numerology plays a role in this case because twelve represents all people together. </w:t>
      </w:r>
    </w:p>
    <w:p>
      <w:pPr>
        <w:autoSpaceDN w:val="0"/>
        <w:autoSpaceDE w:val="0"/>
        <w:widowControl/>
        <w:spacing w:line="197" w:lineRule="auto" w:before="422" w:after="0"/>
        <w:ind w:left="1440" w:right="0" w:firstLine="0"/>
        <w:jc w:val="left"/>
      </w:pPr>
      <w:r>
        <w:rPr>
          <w:rFonts w:ascii="Calibri" w:hAnsi="Calibri" w:eastAsia="Calibri"/>
          <w:b w:val="0"/>
          <w:i/>
          <w:color w:val="080808"/>
          <w:sz w:val="20"/>
        </w:rPr>
        <w:t>Parallel Symbolism to Revelation</w:t>
      </w:r>
    </w:p>
    <w:p>
      <w:pPr>
        <w:autoSpaceDN w:val="0"/>
        <w:autoSpaceDE w:val="0"/>
        <w:widowControl/>
        <w:spacing w:line="326" w:lineRule="auto" w:before="422" w:after="0"/>
        <w:ind w:left="1440" w:right="1396" w:firstLine="0"/>
        <w:jc w:val="both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Perhaps the most important characteristic of symbolism are seen in the parallels between </w:t>
      </w:r>
      <w:r>
        <w:rPr>
          <w:rFonts w:ascii="Calibri" w:hAnsi="Calibri" w:eastAsia="Calibri"/>
          <w:b w:val="0"/>
          <w:i w:val="0"/>
          <w:color w:val="080808"/>
          <w:sz w:val="20"/>
          <w:u w:val="single"/>
        </w:rPr>
        <w:t>Harry Potter and the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</w:t>
      </w:r>
      <w:r>
        <w:rPr>
          <w:rFonts w:ascii="Calibri" w:hAnsi="Calibri" w:eastAsia="Calibri"/>
          <w:b w:val="0"/>
          <w:i w:val="0"/>
          <w:color w:val="080808"/>
          <w:sz w:val="20"/>
          <w:u w:val="single"/>
        </w:rPr>
        <w:t>Order of the Phoenix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and the biblical book of Revelation. In his book </w:t>
      </w:r>
      <w:r>
        <w:rPr>
          <w:rFonts w:ascii="Calibri" w:hAnsi="Calibri" w:eastAsia="Calibri"/>
          <w:b w:val="0"/>
          <w:i w:val="0"/>
          <w:color w:val="080808"/>
          <w:sz w:val="20"/>
          <w:u w:val="single"/>
        </w:rPr>
        <w:t>God, the Devil, and 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, John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Killinger describes the importance of symbolism both in the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novels and the book of Revelation. He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states that while Harry Potter may have many highly fanciful images, it has no more than the great drama in the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book of Revelation, and cites many examples of popular symbols between the two books (Killinger 49). When one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reads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, one of the most important themes is the power of love, and that love will conquer all in the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end. In this case love is a symbol for God in the novel. Those who follow the power of love, in order to protect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others and stand up to evil, such as Sirius does in the fifth novel, or Dumbledore in the sixth, act as martyrs, just as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the people of John's day were martyred. Furthermore, in the book of Revelation, these martyrs are connected to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the world of the living, ever waiting. In Rev 6:9 John states "I saw under the altar the souls of those who had been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slain because of the word of God and the testimony they had maintained." By analogy, in </w:t>
      </w:r>
      <w:r>
        <w:rPr>
          <w:rFonts w:ascii="Calibri" w:hAnsi="Calibri" w:eastAsia="Calibri"/>
          <w:b w:val="0"/>
          <w:i w:val="0"/>
          <w:color w:val="080808"/>
          <w:sz w:val="20"/>
          <w:u w:val="single"/>
        </w:rPr>
        <w:t>Harry Potter and the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</w:t>
      </w:r>
      <w:r>
        <w:rPr>
          <w:rFonts w:ascii="Calibri" w:hAnsi="Calibri" w:eastAsia="Calibri"/>
          <w:b w:val="0"/>
          <w:i w:val="0"/>
          <w:color w:val="080808"/>
          <w:sz w:val="20"/>
          <w:u w:val="single"/>
        </w:rPr>
        <w:t>Order of the Phoenix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, this connection at the altar is symbolized by the Veil in the Department of Mysteries, which </w:t>
      </w:r>
      <w:r>
        <w:rPr>
          <w:rFonts w:ascii="Calibri" w:hAnsi="Calibri" w:eastAsia="Calibri"/>
          <w:b w:val="0"/>
          <w:i w:val="0"/>
          <w:color w:val="080808"/>
          <w:sz w:val="20"/>
        </w:rPr>
        <w:t>connects the realms of the living and the dead.</w:t>
      </w:r>
    </w:p>
    <w:p>
      <w:pPr>
        <w:autoSpaceDN w:val="0"/>
        <w:autoSpaceDE w:val="0"/>
        <w:widowControl/>
        <w:spacing w:line="324" w:lineRule="auto" w:before="422" w:after="0"/>
        <w:ind w:left="1440" w:right="1396" w:firstLine="0"/>
        <w:jc w:val="both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Another parallel between the two books, is the presence of "the believers" versus the "committers of injustice." In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the Book of Revelation, the believers are those who are spared by God and taken through the tribulation. In </w:t>
      </w:r>
      <w:r>
        <w:rPr>
          <w:rFonts w:ascii="Calibri" w:hAnsi="Calibri" w:eastAsia="Calibri"/>
          <w:b w:val="0"/>
          <w:i/>
          <w:color w:val="080808"/>
          <w:sz w:val="20"/>
        </w:rPr>
        <w:t xml:space="preserve">Harry </w:t>
      </w:r>
      <w:r>
        <w:rPr>
          <w:rFonts w:ascii="Calibri" w:hAnsi="Calibri" w:eastAsia="Calibri"/>
          <w:b w:val="0"/>
          <w:i/>
          <w:color w:val="080808"/>
          <w:sz w:val="20"/>
        </w:rPr>
        <w:t>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, the idea of the believers is manifested in Dumbledore's Army and The Order of the Phoenix, which takes a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stand against evil and fights for what is right. A parallel to the believers is also found in Revelation 9, which states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evil could only harm those that did not have the sign of God on their forehead. As previously noted, in the </w:t>
      </w:r>
      <w:r>
        <w:rPr>
          <w:rFonts w:ascii="Calibri" w:hAnsi="Calibri" w:eastAsia="Calibri"/>
          <w:b w:val="0"/>
          <w:i/>
          <w:color w:val="080808"/>
          <w:sz w:val="20"/>
        </w:rPr>
        <w:t xml:space="preserve">Harry </w:t>
      </w:r>
      <w:r>
        <w:rPr>
          <w:rFonts w:ascii="Calibri" w:hAnsi="Calibri" w:eastAsia="Calibri"/>
          <w:b w:val="0"/>
          <w:i/>
          <w:color w:val="080808"/>
          <w:sz w:val="20"/>
        </w:rPr>
        <w:t>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series, God is love, and Harry's lightening bolt scar symbolizes his mother's sacrificial love for him, rendering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Voldemort unable to harm him. The antithesis of the mark of God in the Book of Revelation is the mark of the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Beast, which is worn by those that are loyal to him. In the Harry Potter series this is manifested through the Dark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Mark, a skull with a snake coming out of its mouth, that is placed on one's arm by Voldemort to summon his most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loyal followers. The committers of injustice in the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series are manifested in Voldemort's Deatheaters, </w:t>
      </w:r>
      <w:r>
        <w:rPr>
          <w:rFonts w:ascii="Calibri" w:hAnsi="Calibri" w:eastAsia="Calibri"/>
          <w:b w:val="0"/>
          <w:i w:val="0"/>
          <w:color w:val="080808"/>
          <w:sz w:val="20"/>
        </w:rPr>
        <w:t>as well as the Ministry of Magic, which slanders the believers.</w:t>
      </w:r>
    </w:p>
    <w:p>
      <w:pPr>
        <w:autoSpaceDN w:val="0"/>
        <w:autoSpaceDE w:val="0"/>
        <w:widowControl/>
        <w:spacing w:line="302" w:lineRule="auto" w:before="422" w:after="0"/>
        <w:ind w:left="1440" w:right="1396" w:firstLine="0"/>
        <w:jc w:val="both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The characters in the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Series, as well as the book of Revelation, further mirror one another. As the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manifestation of ultimate evil in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, Voldemort plays the role of Satan, and the dragon. This role is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demonstrated in Revelation 12: 4-5 which states, "The Dragon stood in front of the woman as she was about to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give birth, ready to devour her baby as soon as it was born. She gave birth to a son who was to shepherd all </w:t>
      </w:r>
    </w:p>
    <w:p>
      <w:pPr>
        <w:autoSpaceDN w:val="0"/>
        <w:autoSpaceDE w:val="0"/>
        <w:widowControl/>
        <w:spacing w:line="197" w:lineRule="auto" w:before="538" w:after="0"/>
        <w:ind w:left="0" w:right="143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e-Research, Vol 2, No 1 (2011)   </w:t>
      </w:r>
      <w:r>
        <w:rPr>
          <w:rFonts w:ascii="Calibri" w:hAnsi="Calibri" w:eastAsia="Calibri"/>
          <w:b/>
          <w:i w:val="0"/>
          <w:color w:val="000000"/>
          <w:sz w:val="22"/>
        </w:rPr>
        <w:t>5</w:t>
      </w:r>
    </w:p>
    <w:p>
      <w:pPr>
        <w:autoSpaceDN w:val="0"/>
        <w:tabs>
          <w:tab w:pos="11722" w:val="left"/>
        </w:tabs>
        <w:autoSpaceDE w:val="0"/>
        <w:widowControl/>
        <w:spacing w:line="236" w:lineRule="exact" w:before="376" w:after="0"/>
        <w:ind w:left="440" w:right="0" w:firstLine="0"/>
        <w:jc w:val="left"/>
      </w:pPr>
      <w:r>
        <w:rPr>
          <w:rFonts w:ascii="AdobeThai" w:hAnsi="AdobeThai" w:eastAsia="AdobeThai"/>
          <w:b w:val="0"/>
          <w:i w:val="0"/>
          <w:color w:val="000000"/>
          <w:sz w:val="20"/>
        </w:rPr>
        <w:t xml:space="preserve">Published by Chapman University Digital Commons, 2014 </w:t>
      </w:r>
      <w:r>
        <w:tab/>
      </w:r>
      <w:r>
        <w:rPr>
          <w:rFonts w:ascii="AdobeThai" w:hAnsi="AdobeThai" w:eastAsia="AdobeThai"/>
          <w:b w:val="0"/>
          <w:i w:val="0"/>
          <w:color w:val="000000"/>
          <w:sz w:val="20"/>
        </w:rPr>
        <w:t>3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360" w:after="0"/>
        <w:ind w:left="0" w:right="0" w:firstLine="0"/>
        <w:jc w:val="center"/>
      </w:pPr>
      <w:r>
        <w:rPr>
          <w:rFonts w:ascii="AdobeThai" w:hAnsi="AdobeThai" w:eastAsia="AdobeThai"/>
          <w:b w:val="0"/>
          <w:i/>
          <w:color w:val="000000"/>
          <w:sz w:val="20"/>
        </w:rPr>
        <w:t>e-Research: A Journal of Undergraduate Work, Vol. 2, No. 1 [2014], Art. 3</w:t>
      </w:r>
    </w:p>
    <w:p>
      <w:pPr>
        <w:autoSpaceDN w:val="0"/>
        <w:autoSpaceDE w:val="0"/>
        <w:widowControl/>
        <w:spacing w:line="197" w:lineRule="auto" w:before="166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C. Findley-Grubb </w:t>
      </w:r>
    </w:p>
    <w:p>
      <w:pPr>
        <w:autoSpaceDN w:val="0"/>
        <w:autoSpaceDE w:val="0"/>
        <w:widowControl/>
        <w:spacing w:line="314" w:lineRule="auto" w:before="498" w:after="0"/>
        <w:ind w:left="1440" w:right="1396" w:firstLine="0"/>
        <w:jc w:val="both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nations with an iron rod. And her child was snatched away from the dragon and was caught up to God and to his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throne." In this verse, the dragon does kill the child, but it is through this act and being brought to God that the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child is able to secure the dragon's destruction. This act, too, parallels the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tale, in which Voldemort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attacks Harry while he is an infant in order to secure his power. However, it is through this act that Voldemort sets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into motion a chain of events that leads to his ultimate downfall. In both these tales, evil carries within itself the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germ of its own destruction (Farmer). </w:t>
      </w:r>
    </w:p>
    <w:p>
      <w:pPr>
        <w:autoSpaceDN w:val="0"/>
        <w:autoSpaceDE w:val="0"/>
        <w:widowControl/>
        <w:spacing w:line="331" w:lineRule="auto" w:before="422" w:after="0"/>
        <w:ind w:left="1440" w:right="1394" w:firstLine="0"/>
        <w:jc w:val="both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Perhaps one of the most revealing parallels between the books is in Revelation, the Lion of Judah and the Lamb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still bearing the marks of being slaughtered, is who is worthy and will rule in the end. Compared to the Beast, a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lamb seems to be the least likely creature to defeat it, such as the teenager Harry defeating the Dark Lord in </w:t>
      </w:r>
      <w:r>
        <w:rPr>
          <w:rFonts w:ascii="Calibri" w:hAnsi="Calibri" w:eastAsia="Calibri"/>
          <w:b w:val="0"/>
          <w:i/>
          <w:color w:val="080808"/>
          <w:sz w:val="20"/>
        </w:rPr>
        <w:t xml:space="preserve">Harry </w:t>
      </w:r>
      <w:r>
        <w:rPr>
          <w:rFonts w:ascii="Calibri" w:hAnsi="Calibri" w:eastAsia="Calibri"/>
          <w:b w:val="0"/>
          <w:i/>
          <w:color w:val="080808"/>
          <w:sz w:val="20"/>
        </w:rPr>
        <w:t>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. However, it is not only a lamb, but a slaughtered lamb, who is worthy in Revelation. This suggests that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Harry must be slaughtered by Voldemort in order to come back and defeat him, which occurs in the seventh novel.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This lion imagery in conjunction with the lamb also fits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as Harry is a member of the Gryffindor house,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whose symbol is the lion. The fact that the lamb is in the lion's house may also be seen as a radical rebirth of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images where Rowling blends two opposing forces together in a single character. Throughout the series, Harry is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cast as the lamb who fights against the Beast. There are two examples of the Beast in the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series. In </w:t>
      </w:r>
      <w:r>
        <w:rPr>
          <w:rFonts w:ascii="Calibri" w:hAnsi="Calibri" w:eastAsia="Calibri"/>
          <w:b w:val="0"/>
          <w:i w:val="0"/>
          <w:color w:val="080808"/>
          <w:sz w:val="20"/>
          <w:u w:val="single"/>
        </w:rPr>
        <w:t xml:space="preserve">Order of the Phoenix,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Voldemort is represented by the Sea Beast. This parallel is seen in Revelation 13:3, which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states "And one of his [the beast's] heads seemed to have a deadly wound. But his death stroke was healed; and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the whole earth went after the beast in amazement and admiration." In the fourth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novel, --</w:t>
      </w:r>
      <w:r>
        <w:rPr>
          <w:rFonts w:ascii="Calibri" w:hAnsi="Calibri" w:eastAsia="Calibri"/>
          <w:b w:val="0"/>
          <w:i w:val="0"/>
          <w:color w:val="080808"/>
          <w:sz w:val="20"/>
          <w:u w:val="single"/>
        </w:rPr>
        <w:t>Harry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</w:t>
      </w:r>
      <w:r>
        <w:rPr>
          <w:rFonts w:ascii="Calibri" w:hAnsi="Calibri" w:eastAsia="Calibri"/>
          <w:b w:val="0"/>
          <w:i w:val="0"/>
          <w:color w:val="080808"/>
          <w:sz w:val="20"/>
          <w:u w:val="single"/>
        </w:rPr>
        <w:t>Potter and the Goblet of Fire</w:t>
      </w:r>
      <w:r>
        <w:rPr>
          <w:rFonts w:ascii="Calibri" w:hAnsi="Calibri" w:eastAsia="Calibri"/>
          <w:b w:val="0"/>
          <w:i/>
          <w:color w:val="080808"/>
          <w:sz w:val="20"/>
          <w:u w:val="single"/>
        </w:rPr>
        <w:t xml:space="preserve">,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Voldemort returns to power after a certain death, much the same as the Beast does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in the book of Revelation. Further, Professor Umbrage personifies the earth Beast in the book of Revelation. The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earth Beast has "two horns like a lamb, but he speaks like the dragon" and "He exerts all the power and right of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control of the former beast in his presence, and causes the earth and those who dwell upon it to exalt and deify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the first beast, whose deadly wound was healed, and to worship him" (Rev. 11-12). Though Umbrage's physical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description is quite disarming, it is clear to the students of Hogwarts School of Witchcraft and Wizardry it is clear </w:t>
      </w:r>
      <w:r>
        <w:rPr>
          <w:rFonts w:ascii="Calibri" w:hAnsi="Calibri" w:eastAsia="Calibri"/>
          <w:b w:val="0"/>
          <w:i w:val="0"/>
          <w:color w:val="080808"/>
          <w:sz w:val="20"/>
        </w:rPr>
        <w:t>that she is there is support of Voldemort, much like the earth Beast in the Book of Revelation.</w:t>
      </w:r>
    </w:p>
    <w:p>
      <w:pPr>
        <w:autoSpaceDN w:val="0"/>
        <w:autoSpaceDE w:val="0"/>
        <w:widowControl/>
        <w:spacing w:line="194" w:lineRule="auto" w:before="422" w:after="0"/>
        <w:ind w:left="1440" w:right="0" w:firstLine="0"/>
        <w:jc w:val="left"/>
      </w:pPr>
      <w:r>
        <w:rPr>
          <w:rFonts w:ascii="Calibri" w:hAnsi="Calibri" w:eastAsia="Calibri"/>
          <w:b/>
          <w:i w:val="0"/>
          <w:color w:val="080808"/>
          <w:sz w:val="20"/>
        </w:rPr>
        <w:t>Pessimism and Shaking at the Foundations</w:t>
      </w:r>
    </w:p>
    <w:p>
      <w:pPr>
        <w:autoSpaceDN w:val="0"/>
        <w:autoSpaceDE w:val="0"/>
        <w:widowControl/>
        <w:spacing w:line="310" w:lineRule="auto" w:before="424" w:after="0"/>
        <w:ind w:left="1440" w:right="1394" w:firstLine="0"/>
        <w:jc w:val="both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Another characteristic of apocalyptic literature that manifests itself in the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series is an emerging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attitude of pessimism evolving as the world shakes at its foundations. In the end of the fourth book, the dark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wizard Voldemort is returned to full power, and yet few are willing to acknowledge his return. Throughout the fifth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book, circumstances keep worsening until there remains little doubt that the Dark Lord has returned. As the </w:t>
      </w:r>
      <w:r>
        <w:rPr>
          <w:rFonts w:ascii="Calibri" w:hAnsi="Calibri" w:eastAsia="Calibri"/>
          <w:b w:val="0"/>
          <w:i w:val="0"/>
          <w:color w:val="080808"/>
          <w:sz w:val="20"/>
        </w:rPr>
        <w:t>"sorting hat" says in the beginning of the book,</w:t>
      </w:r>
    </w:p>
    <w:p>
      <w:pPr>
        <w:autoSpaceDN w:val="0"/>
        <w:autoSpaceDE w:val="0"/>
        <w:widowControl/>
        <w:spacing w:line="290" w:lineRule="auto" w:before="426" w:after="0"/>
        <w:ind w:left="1440" w:right="7776" w:firstLine="0"/>
        <w:jc w:val="left"/>
      </w:pPr>
      <w:r>
        <w:rPr>
          <w:rFonts w:ascii="Calibri" w:hAnsi="Calibri" w:eastAsia="Calibri"/>
          <w:b w:val="0"/>
          <w:i/>
          <w:color w:val="080808"/>
          <w:sz w:val="20"/>
        </w:rPr>
        <w:t xml:space="preserve">"Oh know the perils, read the signs, </w:t>
      </w:r>
      <w:r>
        <w:br/>
      </w:r>
      <w:r>
        <w:rPr>
          <w:rFonts w:ascii="Calibri" w:hAnsi="Calibri" w:eastAsia="Calibri"/>
          <w:b w:val="0"/>
          <w:i/>
          <w:color w:val="080808"/>
          <w:sz w:val="20"/>
        </w:rPr>
        <w:t xml:space="preserve">The warning history shows, </w:t>
      </w:r>
      <w:r>
        <w:br/>
      </w:r>
      <w:r>
        <w:rPr>
          <w:rFonts w:ascii="Calibri" w:hAnsi="Calibri" w:eastAsia="Calibri"/>
          <w:b w:val="0"/>
          <w:i/>
          <w:color w:val="080808"/>
          <w:sz w:val="20"/>
        </w:rPr>
        <w:t xml:space="preserve">For our Hogwarts is in danger, </w:t>
      </w:r>
    </w:p>
    <w:p>
      <w:pPr>
        <w:autoSpaceDN w:val="0"/>
        <w:autoSpaceDE w:val="0"/>
        <w:widowControl/>
        <w:spacing w:line="197" w:lineRule="auto" w:before="538" w:after="0"/>
        <w:ind w:left="144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6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 e-Research, Vol 2, No 1 (2011)</w:t>
      </w:r>
    </w:p>
    <w:p>
      <w:pPr>
        <w:autoSpaceDN w:val="0"/>
        <w:tabs>
          <w:tab w:pos="11722" w:val="left"/>
        </w:tabs>
        <w:autoSpaceDE w:val="0"/>
        <w:widowControl/>
        <w:spacing w:line="236" w:lineRule="exact" w:before="376" w:after="0"/>
        <w:ind w:left="440" w:right="0" w:firstLine="0"/>
        <w:jc w:val="left"/>
      </w:pPr>
      <w:r>
        <w:rPr>
          <w:rFonts w:ascii="AdobeThai" w:hAnsi="AdobeThai" w:eastAsia="AdobeThai"/>
          <w:b w:val="0"/>
          <w:i w:val="0"/>
          <w:color w:val="000000"/>
          <w:sz w:val="20"/>
        </w:rPr>
        <w:t xml:space="preserve">http://digitalcommons.chapman.edu/e-Research/vol2/iss1/3 </w:t>
      </w:r>
      <w:r>
        <w:tab/>
      </w:r>
      <w:r>
        <w:rPr>
          <w:rFonts w:ascii="AdobeThai" w:hAnsi="AdobeThai" w:eastAsia="AdobeThai"/>
          <w:b w:val="0"/>
          <w:i w:val="0"/>
          <w:color w:val="000000"/>
          <w:sz w:val="20"/>
        </w:rPr>
        <w:t>4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360" w:after="0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20"/>
        </w:rPr>
        <w:t>Findley-Grubb: Harry Potter as a Piece of Apocalyptic Fiction</w:t>
      </w:r>
    </w:p>
    <w:p>
      <w:pPr>
        <w:autoSpaceDN w:val="0"/>
        <w:autoSpaceDE w:val="0"/>
        <w:widowControl/>
        <w:spacing w:line="197" w:lineRule="auto" w:before="166" w:after="0"/>
        <w:ind w:left="0" w:right="139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Harry Potter as Apocalyptic Fiction </w:t>
      </w:r>
    </w:p>
    <w:p>
      <w:pPr>
        <w:autoSpaceDN w:val="0"/>
        <w:autoSpaceDE w:val="0"/>
        <w:widowControl/>
        <w:spacing w:line="310" w:lineRule="auto" w:before="498" w:after="0"/>
        <w:ind w:left="1440" w:right="7920" w:firstLine="0"/>
        <w:jc w:val="left"/>
      </w:pPr>
      <w:r>
        <w:rPr>
          <w:rFonts w:ascii="Calibri" w:hAnsi="Calibri" w:eastAsia="Calibri"/>
          <w:b w:val="0"/>
          <w:i/>
          <w:color w:val="080808"/>
          <w:sz w:val="20"/>
        </w:rPr>
        <w:t xml:space="preserve">From external deadly foes, </w:t>
      </w:r>
      <w:r>
        <w:br/>
      </w:r>
      <w:r>
        <w:rPr>
          <w:rFonts w:ascii="Calibri" w:hAnsi="Calibri" w:eastAsia="Calibri"/>
          <w:b w:val="0"/>
          <w:i/>
          <w:color w:val="080808"/>
          <w:sz w:val="20"/>
        </w:rPr>
        <w:t xml:space="preserve">And we must unite inside her, </w:t>
      </w:r>
      <w:r>
        <w:br/>
      </w:r>
      <w:r>
        <w:rPr>
          <w:rFonts w:ascii="Calibri" w:hAnsi="Calibri" w:eastAsia="Calibri"/>
          <w:b w:val="0"/>
          <w:i/>
          <w:color w:val="080808"/>
          <w:sz w:val="20"/>
        </w:rPr>
        <w:t xml:space="preserve">Or we will crumble from within, </w:t>
      </w:r>
      <w:r>
        <w:br/>
      </w:r>
      <w:r>
        <w:rPr>
          <w:rFonts w:ascii="Calibri" w:hAnsi="Calibri" w:eastAsia="Calibri"/>
          <w:b w:val="0"/>
          <w:i/>
          <w:color w:val="080808"/>
          <w:sz w:val="20"/>
        </w:rPr>
        <w:t xml:space="preserve">I have told you, I have warned you, </w:t>
      </w:r>
      <w:r>
        <w:br/>
      </w:r>
      <w:r>
        <w:rPr>
          <w:rFonts w:ascii="Calibri" w:hAnsi="Calibri" w:eastAsia="Calibri"/>
          <w:b w:val="0"/>
          <w:i/>
          <w:color w:val="080808"/>
          <w:sz w:val="20"/>
        </w:rPr>
        <w:t xml:space="preserve">Let the sorting now begin." </w:t>
      </w:r>
    </w:p>
    <w:p>
      <w:pPr>
        <w:autoSpaceDN w:val="0"/>
        <w:autoSpaceDE w:val="0"/>
        <w:widowControl/>
        <w:spacing w:line="266" w:lineRule="auto" w:before="422" w:after="0"/>
        <w:ind w:left="1440" w:right="1296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This song resonates with the idea that things are bad, and they are only going to get worse, a common theme in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apocalyptic literature. </w:t>
      </w:r>
    </w:p>
    <w:p>
      <w:pPr>
        <w:autoSpaceDN w:val="0"/>
        <w:autoSpaceDE w:val="0"/>
        <w:widowControl/>
        <w:spacing w:line="324" w:lineRule="auto" w:before="422" w:after="0"/>
        <w:ind w:left="1440" w:right="1394" w:firstLine="0"/>
        <w:jc w:val="both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The mood is only further darkened throughout the novel as they explore the idea that Voldemort has a new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weapon, something he did not possess in the earlier books. While few know what the weapon is, ignorance fuels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the increasing anxiety over the Dark Lord's return. Half way through the </w:t>
      </w:r>
      <w:r>
        <w:rPr>
          <w:rFonts w:ascii="Calibri" w:hAnsi="Calibri" w:eastAsia="Calibri"/>
          <w:b w:val="0"/>
          <w:i w:val="0"/>
          <w:color w:val="080808"/>
          <w:sz w:val="20"/>
          <w:u w:val="single"/>
        </w:rPr>
        <w:t>Order of the Phoenix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, circumstances decay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further as a mass breakout from Azkaban occurs. Azkaban is a wizarding prison, similar to Alcatraz, where those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who have committed horrendous crimes are incarcerated. Often times these crimes included the murder of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muggles (non-wizards) or demonstrating loyalty to Voldemort. The mood of the novel further deteriorates as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Dumbledore, the only wizard Voldemort ever feared and a strong protector of the school, is replaced by Dolores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Umbridge as the head of Hogwarts School of Witchcraft and Wizardry. When this change occurs, the students are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forced to endure a plethora of hardships, including canceled clubs, whipping, and detentions which include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physical abuses that are cruel by any standard. </w:t>
      </w:r>
    </w:p>
    <w:p>
      <w:pPr>
        <w:autoSpaceDN w:val="0"/>
        <w:autoSpaceDE w:val="0"/>
        <w:widowControl/>
        <w:spacing w:line="266" w:lineRule="auto" w:before="422" w:after="0"/>
        <w:ind w:left="1440" w:right="1296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This mood of pessimism continues throughout the novel as people refuse to believe that Voldemort has returned.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However, when the evidence becomes irrefutable, the ministry puts out the following press release; </w:t>
      </w:r>
    </w:p>
    <w:p>
      <w:pPr>
        <w:autoSpaceDN w:val="0"/>
        <w:autoSpaceDE w:val="0"/>
        <w:widowControl/>
        <w:spacing w:line="290" w:lineRule="auto" w:before="426" w:after="0"/>
        <w:ind w:left="1440" w:right="1396" w:firstLine="0"/>
        <w:jc w:val="both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"It is with great regret that I must confirm the wizard styling himself Lord, well you know who I mean, is alive and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among us. It is with almost equal regret that we report the mass revolt of the Dementors of Azkaban who have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shown themselves averse to continuing in the ministry's employ." </w:t>
      </w:r>
    </w:p>
    <w:p>
      <w:pPr>
        <w:autoSpaceDN w:val="0"/>
        <w:autoSpaceDE w:val="0"/>
        <w:widowControl/>
        <w:spacing w:line="290" w:lineRule="auto" w:before="422" w:after="0"/>
        <w:ind w:left="1440" w:right="1396" w:firstLine="0"/>
        <w:jc w:val="both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While the ministry has finally admitted their previous failure to acknowledge Voldemort's return, the novel ends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on a note of ultimately dire pessimism. If Voldemort is on the loose, and the Deatheaters are under his command,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there exists no limit to the terror that may happen in the coming years. </w:t>
      </w:r>
    </w:p>
    <w:p>
      <w:pPr>
        <w:autoSpaceDN w:val="0"/>
        <w:autoSpaceDE w:val="0"/>
        <w:widowControl/>
        <w:spacing w:line="197" w:lineRule="auto" w:before="422" w:after="0"/>
        <w:ind w:left="1440" w:right="0" w:firstLine="0"/>
        <w:jc w:val="left"/>
      </w:pPr>
      <w:r>
        <w:rPr>
          <w:rFonts w:ascii="Calibri" w:hAnsi="Calibri" w:eastAsia="Calibri"/>
          <w:b/>
          <w:i w:val="0"/>
          <w:color w:val="080808"/>
          <w:sz w:val="20"/>
        </w:rPr>
        <w:t>Righteous Remnant and Dualism</w:t>
      </w:r>
    </w:p>
    <w:p>
      <w:pPr>
        <w:autoSpaceDN w:val="0"/>
        <w:autoSpaceDE w:val="0"/>
        <w:widowControl/>
        <w:spacing w:line="314" w:lineRule="auto" w:before="422" w:after="0"/>
        <w:ind w:left="1440" w:right="1396" w:firstLine="0"/>
        <w:jc w:val="both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Through this mood of pessimism emerges a concept of duality. The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series demonstrates this duality as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a constant struggle between good and evil, and like apocalyptic literature, it is not a true duality because good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always triumphs in the end. Instances of this duality can be seen in multiple scenarios in the book, including the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struggle between the Deatheaters and Order of the Phoenix at the ministry and the battle between Dumbledore 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and Voldemort. Likewise, foils in the novel provide multiple examples of dualism in Dumbledore and Voldemort, </w:t>
      </w:r>
      <w:r>
        <w:rPr>
          <w:rFonts w:ascii="Calibri" w:hAnsi="Calibri" w:eastAsia="Calibri"/>
          <w:b w:val="0"/>
          <w:i w:val="0"/>
          <w:color w:val="080808"/>
          <w:sz w:val="20"/>
        </w:rPr>
        <w:t>Harry and Draco Malfoy, and Minerva and Bellatrix.</w:t>
      </w:r>
    </w:p>
    <w:p>
      <w:pPr>
        <w:autoSpaceDN w:val="0"/>
        <w:autoSpaceDE w:val="0"/>
        <w:widowControl/>
        <w:spacing w:line="197" w:lineRule="auto" w:before="380" w:after="0"/>
        <w:ind w:left="0" w:right="143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e-Research, Vol 2, No 1 (2011)   </w:t>
      </w:r>
      <w:r>
        <w:rPr>
          <w:rFonts w:ascii="Calibri" w:hAnsi="Calibri" w:eastAsia="Calibri"/>
          <w:b/>
          <w:i w:val="0"/>
          <w:color w:val="000000"/>
          <w:sz w:val="22"/>
        </w:rPr>
        <w:t>7</w:t>
      </w:r>
    </w:p>
    <w:p>
      <w:pPr>
        <w:autoSpaceDN w:val="0"/>
        <w:tabs>
          <w:tab w:pos="11722" w:val="left"/>
        </w:tabs>
        <w:autoSpaceDE w:val="0"/>
        <w:widowControl/>
        <w:spacing w:line="236" w:lineRule="exact" w:before="376" w:after="0"/>
        <w:ind w:left="440" w:right="0" w:firstLine="0"/>
        <w:jc w:val="left"/>
      </w:pPr>
      <w:r>
        <w:rPr>
          <w:rFonts w:ascii="AdobeThai" w:hAnsi="AdobeThai" w:eastAsia="AdobeThai"/>
          <w:b w:val="0"/>
          <w:i w:val="0"/>
          <w:color w:val="000000"/>
          <w:sz w:val="20"/>
        </w:rPr>
        <w:t xml:space="preserve">Published by Chapman University Digital Commons, 2014 </w:t>
      </w:r>
      <w:r>
        <w:tab/>
      </w:r>
      <w:r>
        <w:rPr>
          <w:rFonts w:ascii="AdobeThai" w:hAnsi="AdobeThai" w:eastAsia="AdobeThai"/>
          <w:b w:val="0"/>
          <w:i w:val="0"/>
          <w:color w:val="000000"/>
          <w:sz w:val="20"/>
        </w:rPr>
        <w:t>5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360" w:after="0"/>
        <w:ind w:left="0" w:right="0" w:firstLine="0"/>
        <w:jc w:val="center"/>
      </w:pPr>
      <w:r>
        <w:rPr>
          <w:rFonts w:ascii="AdobeThai" w:hAnsi="AdobeThai" w:eastAsia="AdobeThai"/>
          <w:b w:val="0"/>
          <w:i/>
          <w:color w:val="000000"/>
          <w:sz w:val="20"/>
        </w:rPr>
        <w:t>e-Research: A Journal of Undergraduate Work, Vol. 2, No. 1 [2014], Art. 3</w:t>
      </w:r>
    </w:p>
    <w:p>
      <w:pPr>
        <w:autoSpaceDN w:val="0"/>
        <w:autoSpaceDE w:val="0"/>
        <w:widowControl/>
        <w:spacing w:line="197" w:lineRule="auto" w:before="166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C. Findley-Grubb </w:t>
      </w:r>
    </w:p>
    <w:p>
      <w:pPr>
        <w:autoSpaceDN w:val="0"/>
        <w:autoSpaceDE w:val="0"/>
        <w:widowControl/>
        <w:spacing w:line="240" w:lineRule="auto" w:before="4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2390" cy="17780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17780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59" cy="17780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17780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17780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17780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17780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59" cy="17780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17780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17780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59" cy="17780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17780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17780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17780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09219" cy="17780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21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200" name="Picture 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01" name="Picture 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202" name="Picture 2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03" name="Picture 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04" name="Picture 2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205" name="Picture 2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206" name="Picture 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07" name="Picture 2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08" name="Picture 2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09" name="Picture 2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09219" cy="17780"/>
            <wp:docPr id="210" name="Picture 2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21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11" name="Picture 2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12" name="Picture 2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13" name="Picture 2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09219" cy="17780"/>
            <wp:docPr id="214" name="Picture 2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21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15" name="Picture 2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16" name="Picture 2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217" name="Picture 2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219" name="Picture 2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20" name="Picture 2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221" name="Picture 2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22" name="Picture 2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23" name="Picture 2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224" name="Picture 2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225" name="Picture 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26" name="Picture 2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17780"/>
            <wp:docPr id="230" name="Picture 2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31" name="Picture 2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59" cy="17780"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34" name="Picture 2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35" name="Picture 2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36" name="Picture 2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17780"/>
            <wp:docPr id="237" name="Picture 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38" name="Picture 2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39" name="Picture 2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40" name="Picture 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242" name="Picture 2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243" name="Picture 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7779" cy="17780"/>
            <wp:docPr id="244" name="Picture 2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6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When the concept of duality emerges, it is common for a "righteous remnant" to emerge as well. A righteous </w:t>
      </w:r>
    </w:p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remnant is a minority group, which, under the present circumstances, has little chance of convincing the majority </w:t>
      </w:r>
    </w:p>
    <w:p>
      <w:pPr>
        <w:autoSpaceDN w:val="0"/>
        <w:autoSpaceDE w:val="0"/>
        <w:widowControl/>
        <w:spacing w:line="194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of their opinion, and is often persecuted for this reason. This idea is perfectly demonstrated by the line, "they'll </w:t>
      </w:r>
    </w:p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know we're right in the end" thought Harry...but he wondered how many attacks like Seamus' he would have to </w:t>
      </w:r>
    </w:p>
    <w:p>
      <w:pPr>
        <w:autoSpaceDN w:val="0"/>
        <w:autoSpaceDE w:val="0"/>
        <w:widowControl/>
        <w:spacing w:line="194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endure before that time came." Throughout the fifth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novel, the Order of the Phoenix acts as the </w:t>
      </w:r>
    </w:p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righteous remnant. Even though the reader is aware that Voldemort has returned at the end of the previous novel, </w:t>
      </w:r>
    </w:p>
    <w:p>
      <w:pPr>
        <w:autoSpaceDN w:val="0"/>
        <w:autoSpaceDE w:val="0"/>
        <w:widowControl/>
        <w:spacing w:line="194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most wizards are not and naively refuse to believe so. When people such as Dumbledore and Harry proclaim this </w:t>
      </w:r>
    </w:p>
    <w:p>
      <w:pPr>
        <w:autoSpaceDN w:val="0"/>
        <w:autoSpaceDE w:val="0"/>
        <w:widowControl/>
        <w:spacing w:line="197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truth, both find themselves persecuted and slandered against by the majority of their peers. At the end of the </w:t>
      </w:r>
    </w:p>
    <w:p>
      <w:pPr>
        <w:autoSpaceDN w:val="0"/>
        <w:autoSpaceDE w:val="0"/>
        <w:widowControl/>
        <w:spacing w:line="194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novel, Harry is described as "a lone voice of truth. Perceived as unbalanced yet never wavering in his story. Forced </w:t>
      </w:r>
    </w:p>
    <w:p>
      <w:pPr>
        <w:autoSpaceDN w:val="0"/>
        <w:autoSpaceDE w:val="0"/>
        <w:widowControl/>
        <w:spacing w:line="197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to bear ridicule and slander." This description perfectly demonstrates Harry as being a member of the righteous </w:t>
      </w:r>
    </w:p>
    <w:p>
      <w:pPr>
        <w:autoSpaceDN w:val="0"/>
        <w:autoSpaceDE w:val="0"/>
        <w:widowControl/>
        <w:spacing w:line="194" w:lineRule="auto" w:before="144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remnant in the novel. </w:t>
      </w:r>
    </w:p>
    <w:p>
      <w:pPr>
        <w:autoSpaceDN w:val="0"/>
        <w:autoSpaceDE w:val="0"/>
        <w:widowControl/>
        <w:spacing w:line="197" w:lineRule="auto" w:before="4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Another example of the righteous remnant emerges as Harry and other Hogwarts students ban together to form a </w:t>
      </w:r>
    </w:p>
    <w:p>
      <w:pPr>
        <w:autoSpaceDN w:val="0"/>
        <w:autoSpaceDE w:val="0"/>
        <w:widowControl/>
        <w:spacing w:line="194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defense against the dark arts group to prepare for a battle against Voldemort. However, when this battle finally </w:t>
      </w:r>
    </w:p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arrives, "Harry's insides plummeted sickeningly. They were trapped and outnumbered two to one." Fortunately, in </w:t>
      </w:r>
    </w:p>
    <w:p>
      <w:pPr>
        <w:autoSpaceDN w:val="0"/>
        <w:autoSpaceDE w:val="0"/>
        <w:widowControl/>
        <w:spacing w:line="194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accordance with good triumphing in this dualism, the teenagers are able to battle and hold the Deatheaters at bay </w:t>
      </w:r>
    </w:p>
    <w:p>
      <w:pPr>
        <w:autoSpaceDN w:val="0"/>
        <w:autoSpaceDE w:val="0"/>
        <w:widowControl/>
        <w:spacing w:line="197" w:lineRule="auto" w:before="142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until the Order arrives and triumphs. </w:t>
      </w:r>
    </w:p>
    <w:p>
      <w:pPr>
        <w:autoSpaceDN w:val="0"/>
        <w:autoSpaceDE w:val="0"/>
        <w:widowControl/>
        <w:spacing w:line="194" w:lineRule="auto" w:before="422" w:after="0"/>
        <w:ind w:left="1440" w:right="0" w:firstLine="0"/>
        <w:jc w:val="left"/>
      </w:pPr>
      <w:r>
        <w:rPr>
          <w:rFonts w:ascii="Calibri" w:hAnsi="Calibri" w:eastAsia="Calibri"/>
          <w:b/>
          <w:i w:val="0"/>
          <w:color w:val="080808"/>
          <w:sz w:val="20"/>
        </w:rPr>
        <w:t>Prophecy and Determinism</w:t>
      </w:r>
    </w:p>
    <w:p>
      <w:pPr>
        <w:autoSpaceDN w:val="0"/>
        <w:autoSpaceDE w:val="0"/>
        <w:widowControl/>
        <w:spacing w:line="194" w:lineRule="auto" w:before="42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A further example of apocalyptic characteristics in the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novels is that of prophecy and determinism. At </w:t>
      </w:r>
    </w:p>
    <w:p>
      <w:pPr>
        <w:autoSpaceDN w:val="0"/>
        <w:autoSpaceDE w:val="0"/>
        <w:widowControl/>
        <w:spacing w:line="197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the climax of the fifth novel, the righteous remnant enters the Department of Mysteries and discovers a prophecy </w:t>
      </w:r>
    </w:p>
    <w:p>
      <w:pPr>
        <w:autoSpaceDN w:val="0"/>
        <w:autoSpaceDE w:val="0"/>
        <w:widowControl/>
        <w:spacing w:line="194" w:lineRule="auto" w:before="142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that is inscribed with Harry's name. The prophecy states,</w:t>
      </w:r>
    </w:p>
    <w:p>
      <w:pPr>
        <w:autoSpaceDN w:val="0"/>
        <w:autoSpaceDE w:val="0"/>
        <w:widowControl/>
        <w:spacing w:line="197" w:lineRule="auto" w:before="4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"The one with the power to vanquish the Dark Lord approaches. Born to those who have thrice defied him, born as </w:t>
      </w:r>
    </w:p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the seventh month dies. And the Dark Lord shall mark him as his equal, but he will have power the Dark Lord </w:t>
      </w:r>
    </w:p>
    <w:p>
      <w:pPr>
        <w:autoSpaceDN w:val="0"/>
        <w:autoSpaceDE w:val="0"/>
        <w:widowControl/>
        <w:spacing w:line="194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knows not. And either must die at the hands of the other for neither can live while the other survives. The one </w:t>
      </w:r>
    </w:p>
    <w:p>
      <w:pPr>
        <w:autoSpaceDN w:val="0"/>
        <w:autoSpaceDE w:val="0"/>
        <w:widowControl/>
        <w:spacing w:line="197" w:lineRule="auto" w:before="144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with the power to vanquish the Dark Lord will be born as the seventh month dies." </w:t>
      </w:r>
    </w:p>
    <w:p>
      <w:pPr>
        <w:autoSpaceDN w:val="0"/>
        <w:autoSpaceDE w:val="0"/>
        <w:widowControl/>
        <w:spacing w:line="197" w:lineRule="auto" w:before="4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Through this prophecy, the reader is reminded that Harry's future is set and there is no way he can change it. One </w:t>
      </w:r>
    </w:p>
    <w:p>
      <w:pPr>
        <w:autoSpaceDN w:val="0"/>
        <w:autoSpaceDE w:val="0"/>
        <w:widowControl/>
        <w:spacing w:line="197" w:lineRule="auto" w:before="14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day Harry will have to face the Dark Lord, regardless of his own wishes. Likewise, determinism is demonstrated in </w:t>
      </w:r>
    </w:p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this concept because despite Harry's own wishes, his predetermined and unalterable destiny was sealed long </w:t>
      </w:r>
    </w:p>
    <w:p>
      <w:pPr>
        <w:autoSpaceDN w:val="0"/>
        <w:autoSpaceDE w:val="0"/>
        <w:widowControl/>
        <w:spacing w:line="197" w:lineRule="auto" w:before="140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before he was even born. </w:t>
      </w:r>
    </w:p>
    <w:p>
      <w:pPr>
        <w:autoSpaceDN w:val="0"/>
        <w:autoSpaceDE w:val="0"/>
        <w:widowControl/>
        <w:spacing w:line="197" w:lineRule="auto" w:before="422" w:after="0"/>
        <w:ind w:left="1440" w:right="0" w:firstLine="0"/>
        <w:jc w:val="left"/>
      </w:pPr>
      <w:r>
        <w:rPr>
          <w:rFonts w:ascii="Calibri" w:hAnsi="Calibri" w:eastAsia="Calibri"/>
          <w:b/>
          <w:i w:val="0"/>
          <w:color w:val="080808"/>
          <w:sz w:val="20"/>
        </w:rPr>
        <w:t>Sacrificial Love and the Triumph of God</w:t>
      </w:r>
    </w:p>
    <w:p>
      <w:pPr>
        <w:autoSpaceDN w:val="0"/>
        <w:autoSpaceDE w:val="0"/>
        <w:widowControl/>
        <w:spacing w:line="194" w:lineRule="auto" w:before="4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"There is a room in the Department of Mysteries, that is kept locked at all times. It contains a force that is at once </w:t>
      </w:r>
    </w:p>
    <w:p>
      <w:pPr>
        <w:autoSpaceDN w:val="0"/>
        <w:autoSpaceDE w:val="0"/>
        <w:widowControl/>
        <w:spacing w:line="194" w:lineRule="auto" w:before="1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more wonderful and more terrible than death, than human intelligence, than the forces of nature." In this quote, </w:t>
      </w:r>
    </w:p>
    <w:p>
      <w:pPr>
        <w:autoSpaceDN w:val="0"/>
        <w:autoSpaceDE w:val="0"/>
        <w:widowControl/>
        <w:spacing w:line="197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Dumbledore is describing the force of love. It is love, not evil, which triumphs in every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novel. When </w:t>
      </w:r>
    </w:p>
    <w:p>
      <w:pPr>
        <w:autoSpaceDN w:val="0"/>
        <w:autoSpaceDE w:val="0"/>
        <w:widowControl/>
        <w:spacing w:line="197" w:lineRule="auto" w:before="230" w:after="0"/>
        <w:ind w:left="144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8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 e-Research, Vol 2, No 1 (2011)</w:t>
      </w:r>
    </w:p>
    <w:p>
      <w:pPr>
        <w:autoSpaceDN w:val="0"/>
        <w:tabs>
          <w:tab w:pos="11722" w:val="left"/>
        </w:tabs>
        <w:autoSpaceDE w:val="0"/>
        <w:widowControl/>
        <w:spacing w:line="236" w:lineRule="exact" w:before="376" w:after="0"/>
        <w:ind w:left="440" w:right="0" w:firstLine="0"/>
        <w:jc w:val="left"/>
      </w:pPr>
      <w:r>
        <w:rPr>
          <w:rFonts w:ascii="AdobeThai" w:hAnsi="AdobeThai" w:eastAsia="AdobeThai"/>
          <w:b w:val="0"/>
          <w:i w:val="0"/>
          <w:color w:val="000000"/>
          <w:sz w:val="20"/>
        </w:rPr>
        <w:t xml:space="preserve">http://digitalcommons.chapman.edu/e-Research/vol2/iss1/3 </w:t>
      </w:r>
      <w:r>
        <w:tab/>
      </w:r>
      <w:r>
        <w:rPr>
          <w:rFonts w:ascii="AdobeThai" w:hAnsi="AdobeThai" w:eastAsia="AdobeThai"/>
          <w:b w:val="0"/>
          <w:i w:val="0"/>
          <w:color w:val="000000"/>
          <w:sz w:val="20"/>
        </w:rPr>
        <w:t>6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360" w:after="0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20"/>
        </w:rPr>
        <w:t>Findley-Grubb: Harry Potter as a Piece of Apocalyptic Fiction</w:t>
      </w:r>
    </w:p>
    <w:p>
      <w:pPr>
        <w:autoSpaceDN w:val="0"/>
        <w:autoSpaceDE w:val="0"/>
        <w:widowControl/>
        <w:spacing w:line="197" w:lineRule="auto" w:before="166" w:after="0"/>
        <w:ind w:left="0" w:right="139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Harry Potter as Apocalyptic Fiction </w:t>
      </w:r>
    </w:p>
    <w:p>
      <w:pPr>
        <w:autoSpaceDN w:val="0"/>
        <w:autoSpaceDE w:val="0"/>
        <w:widowControl/>
        <w:spacing w:line="197" w:lineRule="auto" w:before="4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Lily out of love sacrificed her life to save her infant, she gave a protection to Harry that greatly hinders Voldemort </w:t>
      </w:r>
    </w:p>
    <w:p>
      <w:pPr>
        <w:autoSpaceDN w:val="0"/>
        <w:autoSpaceDE w:val="0"/>
        <w:widowControl/>
        <w:spacing w:line="194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throughout the novels. In fact, it is the reason that Voldemort falls from power in the first place. Dumbledore </w:t>
      </w:r>
    </w:p>
    <w:p>
      <w:pPr>
        <w:autoSpaceDN w:val="0"/>
        <w:autoSpaceDE w:val="0"/>
        <w:widowControl/>
        <w:spacing w:line="197" w:lineRule="auto" w:before="144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states, </w:t>
      </w:r>
    </w:p>
    <w:p>
      <w:pPr>
        <w:autoSpaceDN w:val="0"/>
        <w:autoSpaceDE w:val="0"/>
        <w:widowControl/>
        <w:spacing w:line="197" w:lineRule="auto" w:before="4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"I knew too where Voldemort was weak. And so I made my decision. You would be protected by an ancient magic </w:t>
      </w:r>
    </w:p>
    <w:p>
      <w:pPr>
        <w:autoSpaceDN w:val="0"/>
        <w:autoSpaceDE w:val="0"/>
        <w:widowControl/>
        <w:spacing w:line="197" w:lineRule="auto" w:before="14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of which he knows but despises, and which he has always, therefore, underestimated to his cost. I am speaking, of </w:t>
      </w:r>
    </w:p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course, of the fact that your mother died to save you. She gave you a lingering protection he never expected, a </w:t>
      </w:r>
    </w:p>
    <w:p>
      <w:pPr>
        <w:autoSpaceDN w:val="0"/>
        <w:autoSpaceDE w:val="0"/>
        <w:widowControl/>
        <w:spacing w:line="197" w:lineRule="auto" w:before="140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protection that flows in your veins to this day." </w:t>
      </w:r>
    </w:p>
    <w:p>
      <w:pPr>
        <w:autoSpaceDN w:val="0"/>
        <w:autoSpaceDE w:val="0"/>
        <w:widowControl/>
        <w:spacing w:line="197" w:lineRule="auto" w:before="4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This parallels a basic belief among Christians; the significance of the crucifixion. Lily, like Jesus, gave her life </w:t>
      </w:r>
    </w:p>
    <w:p>
      <w:pPr>
        <w:autoSpaceDN w:val="0"/>
        <w:autoSpaceDE w:val="0"/>
        <w:widowControl/>
        <w:spacing w:line="194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through love so others may be saved and given protection. Since in the </w:t>
      </w:r>
      <w:r>
        <w:rPr>
          <w:rFonts w:ascii="Calibri" w:hAnsi="Calibri" w:eastAsia="Calibri"/>
          <w:b w:val="0"/>
          <w:i/>
          <w:color w:val="080808"/>
          <w:sz w:val="20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novels God is represented by </w:t>
      </w:r>
    </w:p>
    <w:p>
      <w:pPr>
        <w:autoSpaceDN w:val="0"/>
        <w:autoSpaceDE w:val="0"/>
        <w:widowControl/>
        <w:spacing w:line="197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love, this ultimate act of sacrificial love, as well as others appearing throughout the novel, are useful in </w:t>
      </w:r>
    </w:p>
    <w:p>
      <w:pPr>
        <w:autoSpaceDN w:val="0"/>
        <w:autoSpaceDE w:val="0"/>
        <w:widowControl/>
        <w:spacing w:line="194" w:lineRule="auto" w:before="142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demonstrating the apocalyptic tenet of the triumph of God. </w:t>
      </w:r>
    </w:p>
    <w:p>
      <w:pPr>
        <w:autoSpaceDN w:val="0"/>
        <w:autoSpaceDE w:val="0"/>
        <w:widowControl/>
        <w:spacing w:line="197" w:lineRule="auto" w:before="424" w:after="0"/>
        <w:ind w:left="1440" w:right="0" w:firstLine="0"/>
        <w:jc w:val="left"/>
      </w:pPr>
      <w:r>
        <w:rPr>
          <w:rFonts w:ascii="Calibri" w:hAnsi="Calibri" w:eastAsia="Calibri"/>
          <w:b/>
          <w:i w:val="0"/>
          <w:color w:val="080808"/>
          <w:sz w:val="20"/>
        </w:rPr>
        <w:t>Conclusion</w:t>
      </w:r>
    </w:p>
    <w:p>
      <w:pPr>
        <w:autoSpaceDN w:val="0"/>
        <w:autoSpaceDE w:val="0"/>
        <w:widowControl/>
        <w:spacing w:line="197" w:lineRule="auto" w:before="4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While true apocalyptic literature may have died out in the first century, the characteristics continue to resonate in </w:t>
      </w:r>
    </w:p>
    <w:p>
      <w:pPr>
        <w:autoSpaceDN w:val="0"/>
        <w:autoSpaceDE w:val="0"/>
        <w:widowControl/>
        <w:spacing w:line="194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literature to this day. The </w:t>
      </w:r>
      <w:r>
        <w:rPr>
          <w:rFonts w:ascii="Calibri" w:hAnsi="Calibri" w:eastAsia="Calibri"/>
          <w:b w:val="0"/>
          <w:i w:val="0"/>
          <w:color w:val="080808"/>
          <w:sz w:val="20"/>
          <w:u w:val="single"/>
        </w:rPr>
        <w:t>Harry Potter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 series is the epitome of such a piece of literature. This series demonstrates </w:t>
      </w:r>
    </w:p>
    <w:p>
      <w:pPr>
        <w:autoSpaceDN w:val="0"/>
        <w:autoSpaceDE w:val="0"/>
        <w:widowControl/>
        <w:spacing w:line="197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ideas critical to the apocalyptic mindset including symbolism, dualism, pessimism, righteous remnant, triumph of </w:t>
      </w:r>
    </w:p>
    <w:p>
      <w:pPr>
        <w:autoSpaceDN w:val="0"/>
        <w:autoSpaceDE w:val="0"/>
        <w:widowControl/>
        <w:spacing w:line="194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God and more. When one reads the series for fun, these ideas may not immediately leap from the page, but given </w:t>
      </w:r>
    </w:p>
    <w:p>
      <w:pPr>
        <w:autoSpaceDN w:val="0"/>
        <w:autoSpaceDE w:val="0"/>
        <w:widowControl/>
        <w:spacing w:line="197" w:lineRule="auto" w:before="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critical study and time, it is clear to see that </w:t>
      </w:r>
      <w:r>
        <w:rPr>
          <w:rFonts w:ascii="Calibri" w:hAnsi="Calibri" w:eastAsia="Calibri"/>
          <w:b w:val="0"/>
          <w:i w:val="0"/>
          <w:color w:val="080808"/>
          <w:sz w:val="20"/>
          <w:u w:val="single"/>
        </w:rPr>
        <w:t>Harry Potter and the Order of the Phoenix</w:t>
      </w: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, as well as the whole series, </w:t>
      </w:r>
    </w:p>
    <w:p>
      <w:pPr>
        <w:autoSpaceDN w:val="0"/>
        <w:autoSpaceDE w:val="0"/>
        <w:widowControl/>
        <w:spacing w:line="194" w:lineRule="auto" w:before="144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is a masterpiece of apocalyptic literature. </w:t>
      </w:r>
    </w:p>
    <w:p>
      <w:pPr>
        <w:autoSpaceDN w:val="0"/>
        <w:autoSpaceDE w:val="0"/>
        <w:widowControl/>
        <w:spacing w:line="197" w:lineRule="auto" w:before="422" w:after="0"/>
        <w:ind w:left="1440" w:right="0" w:firstLine="0"/>
        <w:jc w:val="left"/>
      </w:pPr>
      <w:r>
        <w:rPr>
          <w:rFonts w:ascii="Calibri" w:hAnsi="Calibri" w:eastAsia="Calibri"/>
          <w:b/>
          <w:i w:val="0"/>
          <w:color w:val="080808"/>
          <w:sz w:val="20"/>
        </w:rPr>
        <w:t>References</w:t>
      </w:r>
    </w:p>
    <w:p>
      <w:pPr>
        <w:autoSpaceDN w:val="0"/>
        <w:autoSpaceDE w:val="0"/>
        <w:widowControl/>
        <w:spacing w:line="197" w:lineRule="auto" w:before="422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The Biblical Book of Revelation: Chapter 6-Chapter 13</w:t>
      </w:r>
    </w:p>
    <w:p>
      <w:pPr>
        <w:autoSpaceDN w:val="0"/>
        <w:autoSpaceDE w:val="0"/>
        <w:widowControl/>
        <w:spacing w:line="197" w:lineRule="auto" w:before="422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King James Bible</w:t>
      </w:r>
    </w:p>
    <w:p>
      <w:pPr>
        <w:autoSpaceDN w:val="0"/>
        <w:autoSpaceDE w:val="0"/>
        <w:widowControl/>
        <w:spacing w:line="194" w:lineRule="auto" w:before="422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New American Standard Bible</w:t>
      </w:r>
    </w:p>
    <w:p>
      <w:pPr>
        <w:autoSpaceDN w:val="0"/>
        <w:autoSpaceDE w:val="0"/>
        <w:widowControl/>
        <w:spacing w:line="194" w:lineRule="auto" w:before="424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New International Version Bible</w:t>
      </w:r>
    </w:p>
    <w:p>
      <w:pPr>
        <w:autoSpaceDN w:val="0"/>
        <w:autoSpaceDE w:val="0"/>
        <w:widowControl/>
        <w:spacing w:line="194" w:lineRule="auto" w:before="424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New Living Translation Bible</w:t>
      </w:r>
    </w:p>
    <w:p>
      <w:pPr>
        <w:autoSpaceDN w:val="0"/>
        <w:autoSpaceDE w:val="0"/>
        <w:widowControl/>
        <w:spacing w:line="197" w:lineRule="auto" w:before="422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The Message Bible </w:t>
      </w:r>
    </w:p>
    <w:p>
      <w:pPr>
        <w:autoSpaceDN w:val="0"/>
        <w:autoSpaceDE w:val="0"/>
        <w:widowControl/>
        <w:spacing w:line="197" w:lineRule="auto" w:before="4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>Barnhouse, Donald Grey. Revelation: An Expository Commentary Grand Rapids: Zondervan Publishing House, 1971</w:t>
      </w:r>
    </w:p>
    <w:p>
      <w:pPr>
        <w:autoSpaceDN w:val="0"/>
        <w:autoSpaceDE w:val="0"/>
        <w:widowControl/>
        <w:spacing w:line="194" w:lineRule="auto" w:before="422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Bruce, F. F. "The Revelation to John." In A New Testament Commentary. Grand Rapids: Zondervan, 1969.</w:t>
      </w:r>
    </w:p>
    <w:p>
      <w:pPr>
        <w:autoSpaceDN w:val="0"/>
        <w:autoSpaceDE w:val="0"/>
        <w:widowControl/>
        <w:spacing w:line="197" w:lineRule="auto" w:before="412" w:after="0"/>
        <w:ind w:left="0" w:right="143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e-Research, Vol 2, No 1 (2011)   </w:t>
      </w:r>
      <w:r>
        <w:rPr>
          <w:rFonts w:ascii="Calibri" w:hAnsi="Calibri" w:eastAsia="Calibri"/>
          <w:b/>
          <w:i w:val="0"/>
          <w:color w:val="000000"/>
          <w:sz w:val="22"/>
        </w:rPr>
        <w:t>9</w:t>
      </w:r>
    </w:p>
    <w:p>
      <w:pPr>
        <w:autoSpaceDN w:val="0"/>
        <w:tabs>
          <w:tab w:pos="11722" w:val="left"/>
        </w:tabs>
        <w:autoSpaceDE w:val="0"/>
        <w:widowControl/>
        <w:spacing w:line="236" w:lineRule="exact" w:before="376" w:after="0"/>
        <w:ind w:left="440" w:right="0" w:firstLine="0"/>
        <w:jc w:val="left"/>
      </w:pPr>
      <w:r>
        <w:rPr>
          <w:rFonts w:ascii="AdobeThai" w:hAnsi="AdobeThai" w:eastAsia="AdobeThai"/>
          <w:b w:val="0"/>
          <w:i w:val="0"/>
          <w:color w:val="000000"/>
          <w:sz w:val="20"/>
        </w:rPr>
        <w:t xml:space="preserve">Published by Chapman University Digital Commons, 2014 </w:t>
      </w:r>
      <w:r>
        <w:tab/>
      </w:r>
      <w:r>
        <w:rPr>
          <w:rFonts w:ascii="AdobeThai" w:hAnsi="AdobeThai" w:eastAsia="AdobeThai"/>
          <w:b w:val="0"/>
          <w:i w:val="0"/>
          <w:color w:val="000000"/>
          <w:sz w:val="20"/>
        </w:rPr>
        <w:t>7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360" w:after="0"/>
        <w:ind w:left="0" w:right="0" w:firstLine="0"/>
        <w:jc w:val="center"/>
      </w:pPr>
      <w:r>
        <w:rPr>
          <w:rFonts w:ascii="AdobeThai" w:hAnsi="AdobeThai" w:eastAsia="AdobeThai"/>
          <w:b w:val="0"/>
          <w:i/>
          <w:color w:val="000000"/>
          <w:sz w:val="20"/>
        </w:rPr>
        <w:t>e-Research: A Journal of Undergraduate Work, Vol. 2, No. 1 [2014], Art. 3</w:t>
      </w:r>
    </w:p>
    <w:p>
      <w:pPr>
        <w:autoSpaceDN w:val="0"/>
        <w:autoSpaceDE w:val="0"/>
        <w:widowControl/>
        <w:spacing w:line="197" w:lineRule="auto" w:before="166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C. Findley-Grubb </w:t>
      </w:r>
    </w:p>
    <w:p>
      <w:pPr>
        <w:autoSpaceDN w:val="0"/>
        <w:autoSpaceDE w:val="0"/>
        <w:widowControl/>
        <w:spacing w:line="240" w:lineRule="auto" w:before="4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2390" cy="17780"/>
            <wp:docPr id="245" name="Picture 2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46" name="Picture 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47" name="Picture 2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48" name="Picture 2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17780"/>
            <wp:docPr id="249" name="Picture 2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50" name="Picture 2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251" name="Picture 2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59" cy="17780"/>
            <wp:docPr id="252" name="Picture 2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253" name="Picture 2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54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17780"/>
            <wp:docPr id="255" name="Picture 2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256" name="Picture 2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57" name="Picture 2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58" name="Picture 2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17780"/>
            <wp:docPr id="259" name="Picture 2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60" name="Picture 2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261" name="Picture 2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262" name="Picture 2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263" name="Picture 2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64" name="Picture 2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17780"/>
            <wp:docPr id="265" name="Picture 2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66" name="Picture 2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267" name="Picture 2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68" name="Picture 2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17780"/>
            <wp:docPr id="269" name="Picture 2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70" name="Picture 2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271" name="Picture 2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59" cy="17780"/>
            <wp:docPr id="272" name="Picture 2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273" name="Picture 2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74" name="Picture 2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17780"/>
            <wp:docPr id="275" name="Picture 2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76" name="Picture 2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277" name="Picture 2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78" name="Picture 2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279" name="Picture 2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280" name="Picture 2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81" name="Picture 2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17780"/>
            <wp:docPr id="282" name="Picture 2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83" name="Picture 2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284" name="Picture 2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85" name="Picture 2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59" cy="17780"/>
            <wp:docPr id="286" name="Picture 2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287" name="Picture 2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88" name="Picture 2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17780"/>
            <wp:docPr id="289" name="Picture 2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90" name="Picture 2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91" name="Picture 2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292" name="Picture 2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293" name="Picture 2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294" name="Picture 2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95" name="Picture 2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17780"/>
            <wp:docPr id="296" name="Picture 2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297" name="Picture 2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298" name="Picture 2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299" name="Picture 2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300" name="Picture 3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01" name="Picture 3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02" name="Picture 3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303" name="Picture 3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304" name="Picture 3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05" name="Picture 3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306" name="Picture 3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17780"/>
            <wp:docPr id="307" name="Picture 3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08" name="Picture 3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09" name="Picture 3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310" name="Picture 3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311" name="Picture 3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12" name="Picture 3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13" name="Picture 3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14" name="Picture 3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15" name="Picture 3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09219" cy="17780"/>
            <wp:docPr id="316" name="Picture 3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21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17" name="Picture 3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18" name="Picture 3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319" name="Picture 3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20" name="Picture 3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321" name="Picture 3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22" name="Picture 3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323" name="Picture 3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24" name="Picture 3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25" name="Picture 3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326" name="Picture 3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327" name="Picture 3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28" name="Picture 3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29" name="Picture 3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30" name="Picture 3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09219" cy="17780"/>
            <wp:docPr id="331" name="Picture 3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21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32" name="Picture 3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33" name="Picture 3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34" name="Picture 3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09219" cy="17780"/>
            <wp:docPr id="335" name="Picture 3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21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36" name="Picture 3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37" name="Picture 3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338" name="Picture 3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39" name="Picture 3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340" name="Picture 3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41" name="Picture 3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342" name="Picture 3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43" name="Picture 3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44" name="Picture 3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345" name="Picture 3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346" name="Picture 3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47" name="Picture 3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48" name="Picture 3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49" name="Picture 3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50" name="Picture 3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17780"/>
            <wp:docPr id="351" name="Picture 3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52" name="Picture 3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17780"/>
            <wp:docPr id="353" name="Picture 3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59" cy="17780"/>
            <wp:docPr id="354" name="Picture 3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55" name="Picture 3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56" name="Picture 3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57" name="Picture 3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17780"/>
            <wp:docPr id="358" name="Picture 3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30" cy="17780"/>
            <wp:docPr id="359" name="Picture 3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3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60" name="Picture 3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61" name="Picture 3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829" cy="17780"/>
            <wp:docPr id="362" name="Picture 3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5560" cy="17780"/>
            <wp:docPr id="363" name="Picture 3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17780"/>
            <wp:docPr id="364" name="Picture 3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7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7779" cy="17780"/>
            <wp:docPr id="365" name="Picture 3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60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Carrington, Philip. The Meaning of the Revelation . New York: Macmillan, 1931.</w:t>
      </w:r>
    </w:p>
    <w:p>
      <w:pPr>
        <w:autoSpaceDN w:val="0"/>
        <w:autoSpaceDE w:val="0"/>
        <w:widowControl/>
        <w:spacing w:line="197" w:lineRule="auto" w:before="4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Gaebelein, Arno C., The Revelation: An Analysis and Exposition of the Last Book of the Bible: Loizeaux Brothers, </w:t>
      </w:r>
    </w:p>
    <w:p>
      <w:pPr>
        <w:autoSpaceDN w:val="0"/>
        <w:autoSpaceDE w:val="0"/>
        <w:widowControl/>
        <w:spacing w:line="197" w:lineRule="auto" w:before="142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1915.</w:t>
      </w:r>
    </w:p>
    <w:p>
      <w:pPr>
        <w:autoSpaceDN w:val="0"/>
        <w:autoSpaceDE w:val="0"/>
        <w:widowControl/>
        <w:spacing w:line="194" w:lineRule="auto" w:before="422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Rowling, J.K. Harry Potter and the Chamber of Secrets. New York, NY: Arthur A. Levine Books, 2000. 1-784. 1-352.</w:t>
      </w:r>
    </w:p>
    <w:p>
      <w:pPr>
        <w:autoSpaceDN w:val="0"/>
        <w:autoSpaceDE w:val="0"/>
        <w:widowControl/>
        <w:spacing w:line="194" w:lineRule="auto" w:before="424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Rowling, J.K. Harry Potter and the Goblet of Fire. New York, NY: Scholastic Press, 2000. 1-734. Print.</w:t>
      </w:r>
    </w:p>
    <w:p>
      <w:pPr>
        <w:autoSpaceDN w:val="0"/>
        <w:autoSpaceDE w:val="0"/>
        <w:widowControl/>
        <w:spacing w:line="197" w:lineRule="auto" w:before="422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Rowling, J.K. Harry Potter and the Half Blood Prince. New York, NY: Scholastic Paperbacks, 2006. 1-652. Print.</w:t>
      </w:r>
    </w:p>
    <w:p>
      <w:pPr>
        <w:autoSpaceDN w:val="0"/>
        <w:autoSpaceDE w:val="0"/>
        <w:widowControl/>
        <w:spacing w:line="197" w:lineRule="auto" w:before="422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Rowling, J.K. Harry Potter and the Prisoner of Azkaban. New York, NY: Scholastic Press, 2001. 1-784. Print.</w:t>
      </w:r>
    </w:p>
    <w:p>
      <w:pPr>
        <w:autoSpaceDN w:val="0"/>
        <w:autoSpaceDE w:val="0"/>
        <w:widowControl/>
        <w:spacing w:line="194" w:lineRule="auto" w:before="422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Rowling, J.K. Harry Potter and the Sorcerer's Stone. New York, NY: Scholastic Paperbacks, 1999. 1-320. Print.</w:t>
      </w:r>
    </w:p>
    <w:p>
      <w:pPr>
        <w:autoSpaceDN w:val="0"/>
        <w:autoSpaceDE w:val="0"/>
        <w:widowControl/>
        <w:spacing w:line="194" w:lineRule="auto" w:before="424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Farmer, Ronald L. Revelation. Atlanta, GA: Christian Board of Publication, 2006. 1-30. Print.</w:t>
      </w:r>
    </w:p>
    <w:p>
      <w:pPr>
        <w:autoSpaceDN w:val="0"/>
        <w:autoSpaceDE w:val="0"/>
        <w:widowControl/>
        <w:spacing w:line="194" w:lineRule="auto" w:before="42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80808"/>
          <w:sz w:val="20"/>
        </w:rPr>
        <w:t xml:space="preserve">Killinger, John. God, The Devil, and Harry Potter: A Christian Minister's Defense of the Beloved Novels. New York, </w:t>
      </w:r>
    </w:p>
    <w:p>
      <w:pPr>
        <w:autoSpaceDN w:val="0"/>
        <w:autoSpaceDE w:val="0"/>
        <w:widowControl/>
        <w:spacing w:line="197" w:lineRule="auto" w:before="142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NY: St. Martin's Press, 2002. 1-196. Print</w:t>
      </w:r>
    </w:p>
    <w:p>
      <w:pPr>
        <w:autoSpaceDN w:val="0"/>
        <w:autoSpaceDE w:val="0"/>
        <w:widowControl/>
        <w:spacing w:line="194" w:lineRule="auto" w:before="422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Rowling, J.K. Harry Potter and the Deathly Hallows. New York, NY: Arthur A. Levine Books, 2007. 1-784. Print.</w:t>
      </w:r>
    </w:p>
    <w:p>
      <w:pPr>
        <w:autoSpaceDN w:val="0"/>
        <w:autoSpaceDE w:val="0"/>
        <w:widowControl/>
        <w:spacing w:line="194" w:lineRule="auto" w:before="424" w:after="362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Rowling, J.K. Harry Potter and the Order of the Phoenix. New York, NY: Scholastic Press, 2003. 1-870. Print.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>
        <w:trPr>
          <w:trHeight w:hRule="exact" w:val="32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80808"/>
                <w:sz w:val="20"/>
              </w:rPr>
              <w:t xml:space="preserve">Spencer,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80808"/>
                <w:sz w:val="20"/>
              </w:rPr>
              <w:t xml:space="preserve">Priscilla.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80808"/>
                <w:sz w:val="20"/>
              </w:rPr>
              <w:t xml:space="preserve">"What's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80808"/>
                <w:sz w:val="20"/>
              </w:rPr>
              <w:t xml:space="preserve">in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80808"/>
                <w:sz w:val="20"/>
              </w:rPr>
              <w:t xml:space="preserve">the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80808"/>
                <w:sz w:val="20"/>
              </w:rPr>
              <w:t xml:space="preserve">Name."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80808"/>
                <w:sz w:val="20"/>
              </w:rPr>
              <w:t xml:space="preserve">The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80808"/>
                <w:sz w:val="20"/>
              </w:rPr>
              <w:t xml:space="preserve">Nine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80808"/>
                <w:sz w:val="20"/>
              </w:rPr>
              <w:t xml:space="preserve">Muses.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80808"/>
                <w:sz w:val="20"/>
              </w:rPr>
              <w:t xml:space="preserve">N.p.,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80808"/>
                <w:sz w:val="20"/>
              </w:rPr>
              <w:t xml:space="preserve">2005.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80808"/>
                <w:sz w:val="20"/>
              </w:rPr>
              <w:t xml:space="preserve">Web.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80808"/>
                <w:sz w:val="20"/>
              </w:rPr>
              <w:t xml:space="preserve">1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80808"/>
                <w:sz w:val="20"/>
              </w:rPr>
              <w:t xml:space="preserve">Nov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80808"/>
                <w:sz w:val="20"/>
              </w:rPr>
              <w:t xml:space="preserve">2010. </w:t>
            </w:r>
          </w:p>
        </w:tc>
      </w:tr>
    </w:tbl>
    <w:p>
      <w:pPr>
        <w:autoSpaceDN w:val="0"/>
        <w:autoSpaceDE w:val="0"/>
        <w:widowControl/>
        <w:spacing w:line="197" w:lineRule="auto" w:before="84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80808"/>
          <w:sz w:val="20"/>
        </w:rPr>
        <w:t>&lt;http://www.theninemuses.net/hp/3.html&gt;.</w:t>
      </w:r>
    </w:p>
    <w:p>
      <w:pPr>
        <w:autoSpaceDN w:val="0"/>
        <w:autoSpaceDE w:val="0"/>
        <w:widowControl/>
        <w:spacing w:line="197" w:lineRule="auto" w:before="4920" w:after="0"/>
        <w:ind w:left="144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10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 e-Research, Vol 2, No 1 (2011)</w:t>
      </w:r>
    </w:p>
    <w:p>
      <w:pPr>
        <w:autoSpaceDN w:val="0"/>
        <w:tabs>
          <w:tab w:pos="11722" w:val="left"/>
        </w:tabs>
        <w:autoSpaceDE w:val="0"/>
        <w:widowControl/>
        <w:spacing w:line="236" w:lineRule="exact" w:before="376" w:after="0"/>
        <w:ind w:left="440" w:right="0" w:firstLine="0"/>
        <w:jc w:val="left"/>
      </w:pPr>
      <w:r>
        <w:rPr>
          <w:rFonts w:ascii="AdobeThai" w:hAnsi="AdobeThai" w:eastAsia="AdobeThai"/>
          <w:b w:val="0"/>
          <w:i w:val="0"/>
          <w:color w:val="000000"/>
          <w:sz w:val="20"/>
        </w:rPr>
        <w:t xml:space="preserve">http://digitalcommons.chapman.edu/e-Research/vol2/iss1/3 </w:t>
      </w:r>
      <w:r>
        <w:tab/>
      </w:r>
      <w:r>
        <w:rPr>
          <w:rFonts w:ascii="AdobeThai" w:hAnsi="AdobeThai" w:eastAsia="AdobeThai"/>
          <w:b w:val="0"/>
          <w:i w:val="0"/>
          <w:color w:val="000000"/>
          <w:sz w:val="20"/>
        </w:rPr>
        <w:t>8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digitalcommons.chapman.edu/e-Research?utm_source=digitalcommons.chapman.edu%2Fe-Research%2Fvol2%2Fiss1%2F3&amp;utm_medium=PDF&amp;utm_campaign=PDFCoverPages" TargetMode="External"/><Relationship Id="rId11" Type="http://schemas.openxmlformats.org/officeDocument/2006/relationships/hyperlink" Target="http://digitalcommons.chapman.edu/e-Research/vol2?utm_source=digitalcommons.chapman.edu%2Fe-Research%2Fvol2%2Fiss1%2F3&amp;utm_medium=PDF&amp;utm_campaign=PDFCoverPages" TargetMode="External"/><Relationship Id="rId12" Type="http://schemas.openxmlformats.org/officeDocument/2006/relationships/hyperlink" Target="http://digitalcommons.chapman.edu/e-Research/vol2/iss1?utm_source=digitalcommons.chapman.edu%2Fe-Research%2Fvol2%2Fiss1%2F3&amp;utm_medium=PDF&amp;utm_campaign=PDFCoverPages" TargetMode="External"/><Relationship Id="rId13" Type="http://schemas.openxmlformats.org/officeDocument/2006/relationships/hyperlink" Target="http://digitalcommons.chapman.edu/e-Research/vol2/iss1/3?utm_source=digitalcommons.chapman.edu%2Fe-Research%2Fvol2%2Fiss1%2F3&amp;utm_medium=PDF&amp;utm_campaign=PDFCoverPages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network.bepress.com/hgg/discipline/1289?utm_source=digitalcommons.chapman.edu%2Fe-Research%2Fvol2%2Fiss1%2F3&amp;utm_medium=PDF&amp;utm_campaign=PDFCoverPages" TargetMode="External"/><Relationship Id="rId16" Type="http://schemas.openxmlformats.org/officeDocument/2006/relationships/hyperlink" Target="http://network.bepress.com/hgg/discipline/1181?utm_source=digitalcommons.chapman.edu%2Fe-Research%2Fvol2%2Fiss1%2F3&amp;utm_medium=PDF&amp;utm_campaign=PDFCoverPages" TargetMode="External"/><Relationship Id="rId17" Type="http://schemas.openxmlformats.org/officeDocument/2006/relationships/hyperlink" Target="http://network.bepress.com/hgg/discipline/456?utm_source=digitalcommons.chapman.edu%2Fe-Research%2Fvol2%2Fiss1%2F3&amp;utm_medium=PDF&amp;utm_campaign=PDFCoverPages" TargetMode="External"/><Relationship Id="rId18" Type="http://schemas.openxmlformats.org/officeDocument/2006/relationships/hyperlink" Target="mailto:laughtin@chapman.edu" TargetMode="External"/><Relationship Id="rId19" Type="http://schemas.openxmlformats.org/officeDocument/2006/relationships/hyperlink" Target="http://journals.chapman.edu/ojs/index.php/e-Research" TargetMode="External"/><Relationship Id="rId20" Type="http://schemas.openxmlformats.org/officeDocument/2006/relationships/hyperlink" Target="http://journals.chapman.edu/ojs/index.php/e-Research/about" TargetMode="External"/><Relationship Id="rId21" Type="http://schemas.openxmlformats.org/officeDocument/2006/relationships/hyperlink" Target="http://journals.chapman.edu/ojs/index.php/e-Research/login" TargetMode="External"/><Relationship Id="rId22" Type="http://schemas.openxmlformats.org/officeDocument/2006/relationships/hyperlink" Target="http://journals.chapman.edu/ojs/index.php/e-Research/user/register" TargetMode="External"/><Relationship Id="rId23" Type="http://schemas.openxmlformats.org/officeDocument/2006/relationships/hyperlink" Target="http://journals.chapman.edu/ojs/index.php/e-Research/search" TargetMode="External"/><Relationship Id="rId24" Type="http://schemas.openxmlformats.org/officeDocument/2006/relationships/hyperlink" Target="http://journals.chapman.edu/ojs/index.php/e-Research/issue/current" TargetMode="External"/><Relationship Id="rId25" Type="http://schemas.openxmlformats.org/officeDocument/2006/relationships/hyperlink" Target="http://journals.chapman.edu/ojs/index.php/e-Research/issue/archive" TargetMode="External"/><Relationship Id="rId26" Type="http://schemas.openxmlformats.org/officeDocument/2006/relationships/hyperlink" Target="http://journals.chapman.edu/ojs/index.php/e-Research/issue/view/16" TargetMode="External"/><Relationship Id="rId27" Type="http://schemas.openxmlformats.org/officeDocument/2006/relationships/hyperlink" Target="http://journals.chapman.edu/ojs/index.php/e-Research/article/view/131/326" TargetMode="External"/><Relationship Id="rId28" Type="http://schemas.openxmlformats.org/officeDocument/2006/relationships/image" Target="media/image3.png"/><Relationship Id="rId29" Type="http://schemas.openxmlformats.org/officeDocument/2006/relationships/image" Target="media/image4.png"/><Relationship Id="rId30" Type="http://schemas.openxmlformats.org/officeDocument/2006/relationships/image" Target="media/image5.png"/><Relationship Id="rId31" Type="http://schemas.openxmlformats.org/officeDocument/2006/relationships/image" Target="media/image6.png"/><Relationship Id="rId32" Type="http://schemas.openxmlformats.org/officeDocument/2006/relationships/image" Target="media/image7.png"/><Relationship Id="rId33" Type="http://schemas.openxmlformats.org/officeDocument/2006/relationships/image" Target="media/image8.png"/><Relationship Id="rId34" Type="http://schemas.openxmlformats.org/officeDocument/2006/relationships/image" Target="media/image9.png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