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94"/>
        <w:ind w:left="0" w:right="0"/>
      </w:pPr>
    </w:p>
    <w:p>
      <w:pPr>
        <w:autoSpaceDN w:val="0"/>
        <w:autoSpaceDE w:val="0"/>
        <w:widowControl/>
        <w:spacing w:line="378" w:lineRule="exact" w:before="0" w:after="0"/>
        <w:ind w:left="720" w:right="1152" w:firstLine="0"/>
        <w:jc w:val="center"/>
      </w:pPr>
      <w:r>
        <w:rPr>
          <w:rFonts w:ascii="NimbusSanL" w:hAnsi="NimbusSanL" w:eastAsia="NimbusSanL"/>
          <w:b/>
          <w:i w:val="0"/>
          <w:color w:val="000000"/>
          <w:sz w:val="36"/>
        </w:rPr>
        <w:t xml:space="preserve">Data Mapping Framework in a Digital Library with </w:t>
      </w:r>
      <w:r>
        <w:rPr>
          <w:rFonts w:ascii="NimbusSanL" w:hAnsi="NimbusSanL" w:eastAsia="NimbusSanL"/>
          <w:b/>
          <w:i w:val="0"/>
          <w:color w:val="000000"/>
          <w:sz w:val="36"/>
        </w:rPr>
        <w:t>Computational Epidemiology Datasets</w:t>
      </w:r>
    </w:p>
    <w:p>
      <w:pPr>
        <w:autoSpaceDN w:val="0"/>
        <w:autoSpaceDE w:val="0"/>
        <w:widowControl/>
        <w:spacing w:line="240" w:lineRule="exact" w:before="558" w:after="0"/>
        <w:ind w:left="114" w:right="0" w:firstLine="0"/>
        <w:jc w:val="left"/>
      </w:pPr>
      <w:r>
        <w:rPr>
          <w:rFonts w:ascii="NimbusSanL" w:hAnsi="NimbusSanL" w:eastAsia="NimbusSanL"/>
          <w:b w:val="0"/>
          <w:i w:val="0"/>
          <w:color w:val="000000"/>
          <w:sz w:val="24"/>
        </w:rPr>
        <w:t>S.M.Shamimul Hasan</w:t>
      </w:r>
      <w:r>
        <w:rPr>
          <w:rFonts w:ascii="CMR6" w:hAnsi="CMR6" w:eastAsia="CMR6"/>
          <w:b w:val="0"/>
          <w:i w:val="0"/>
          <w:color w:val="000000"/>
          <w:sz w:val="12"/>
        </w:rPr>
        <w:t>1,2</w:t>
      </w:r>
      <w:r>
        <w:rPr>
          <w:rFonts w:ascii="NimbusSanL" w:hAnsi="NimbusSanL" w:eastAsia="NimbusSanL"/>
          <w:b w:val="0"/>
          <w:i w:val="0"/>
          <w:color w:val="000000"/>
          <w:sz w:val="24"/>
        </w:rPr>
        <w:t>, Sandeep Gupta</w:t>
      </w:r>
      <w:r>
        <w:rPr>
          <w:rFonts w:ascii="CMR6" w:hAnsi="CMR6" w:eastAsia="CMR6"/>
          <w:b w:val="0"/>
          <w:i w:val="0"/>
          <w:color w:val="000000"/>
          <w:sz w:val="12"/>
        </w:rPr>
        <w:t>2</w:t>
      </w:r>
      <w:r>
        <w:rPr>
          <w:rFonts w:ascii="NimbusSanL" w:hAnsi="NimbusSanL" w:eastAsia="NimbusSanL"/>
          <w:b w:val="0"/>
          <w:i w:val="0"/>
          <w:color w:val="000000"/>
          <w:sz w:val="24"/>
        </w:rPr>
        <w:t>, Edward A. Fox</w:t>
      </w:r>
      <w:r>
        <w:rPr>
          <w:rFonts w:ascii="CMR6" w:hAnsi="CMR6" w:eastAsia="CMR6"/>
          <w:b w:val="0"/>
          <w:i w:val="0"/>
          <w:color w:val="000000"/>
          <w:sz w:val="12"/>
        </w:rPr>
        <w:t>1</w:t>
      </w:r>
      <w:r>
        <w:rPr>
          <w:rFonts w:ascii="NimbusSanL" w:hAnsi="NimbusSanL" w:eastAsia="NimbusSanL"/>
          <w:b w:val="0"/>
          <w:i w:val="0"/>
          <w:color w:val="000000"/>
          <w:sz w:val="24"/>
        </w:rPr>
        <w:t>, Keith Bisset</w:t>
      </w:r>
      <w:r>
        <w:rPr>
          <w:rFonts w:ascii="CMR6" w:hAnsi="CMR6" w:eastAsia="CMR6"/>
          <w:b w:val="0"/>
          <w:i w:val="0"/>
          <w:color w:val="000000"/>
          <w:sz w:val="12"/>
        </w:rPr>
        <w:t>2</w:t>
      </w:r>
      <w:r>
        <w:rPr>
          <w:rFonts w:ascii="NimbusSanL" w:hAnsi="NimbusSanL" w:eastAsia="NimbusSanL"/>
          <w:b w:val="0"/>
          <w:i w:val="0"/>
          <w:color w:val="000000"/>
          <w:sz w:val="24"/>
        </w:rPr>
        <w:t>, Madhav V. Marathe</w:t>
      </w:r>
      <w:r>
        <w:rPr>
          <w:rFonts w:ascii="CMR6" w:hAnsi="CMR6" w:eastAsia="CMR6"/>
          <w:b w:val="0"/>
          <w:i w:val="0"/>
          <w:color w:val="000000"/>
          <w:sz w:val="12"/>
        </w:rPr>
        <w:t>1,2</w:t>
      </w:r>
    </w:p>
    <w:p>
      <w:pPr>
        <w:autoSpaceDN w:val="0"/>
        <w:autoSpaceDE w:val="0"/>
        <w:widowControl/>
        <w:spacing w:line="216" w:lineRule="exact" w:before="200" w:after="0"/>
        <w:ind w:left="576" w:right="576" w:firstLine="0"/>
        <w:jc w:val="center"/>
      </w:pPr>
      <w:r>
        <w:rPr>
          <w:rFonts w:ascii="CMR6" w:hAnsi="CMR6" w:eastAsia="CMR6"/>
          <w:b w:val="0"/>
          <w:i w:val="0"/>
          <w:color w:val="000000"/>
          <w:sz w:val="12"/>
        </w:rPr>
        <w:t>1</w:t>
      </w:r>
      <w:r>
        <w:rPr>
          <w:rFonts w:ascii="NimbusSanL" w:hAnsi="NimbusSanL" w:eastAsia="NimbusSanL"/>
          <w:b w:val="0"/>
          <w:i w:val="0"/>
          <w:color w:val="000000"/>
          <w:sz w:val="20"/>
        </w:rPr>
        <w:t xml:space="preserve"> Department of Computer Science, Virginia Tech, Blacksburg, VA 24061, USA </w:t>
      </w:r>
      <w:r>
        <w:br/>
      </w:r>
      <w:r>
        <w:rPr>
          <w:rFonts w:ascii="CMR6" w:hAnsi="CMR6" w:eastAsia="CMR6"/>
          <w:b w:val="0"/>
          <w:i w:val="0"/>
          <w:color w:val="000000"/>
          <w:sz w:val="12"/>
        </w:rPr>
        <w:t>2</w:t>
      </w:r>
      <w:r>
        <w:rPr>
          <w:rFonts w:ascii="NimbusSanL" w:hAnsi="NimbusSanL" w:eastAsia="NimbusSanL"/>
          <w:b w:val="0"/>
          <w:i w:val="0"/>
          <w:color w:val="000000"/>
          <w:sz w:val="20"/>
        </w:rPr>
        <w:t xml:space="preserve"> Network Dynamics and Simulation Science Laboratory, VBI, Virginia Tech, Blacksburg, VA 24061, USA</w:t>
      </w:r>
    </w:p>
    <w:p>
      <w:pPr>
        <w:autoSpaceDN w:val="0"/>
        <w:autoSpaceDE w:val="0"/>
        <w:widowControl/>
        <w:spacing w:line="238" w:lineRule="exact" w:before="218" w:after="300"/>
        <w:ind w:left="774" w:right="0" w:firstLine="0"/>
        <w:jc w:val="left"/>
      </w:pPr>
      <w:r>
        <w:rPr>
          <w:rFonts w:ascii="NimbusSanL" w:hAnsi="NimbusSanL" w:eastAsia="NimbusSanL"/>
          <w:b w:val="0"/>
          <w:i w:val="0"/>
          <w:color w:val="000000"/>
          <w:sz w:val="24"/>
        </w:rPr>
        <w:t>shasan2@vt.edu, sandeep@vbi.vt.edu, fox@vt.edu, {kbisset, mmarathe} @vbi.vt.edu</w:t>
      </w:r>
    </w:p>
    <w:p>
      <w:pPr>
        <w:sectPr>
          <w:pgSz w:w="12240" w:h="15840"/>
          <w:pgMar w:top="716" w:right="706" w:bottom="264" w:left="1070" w:header="720" w:footer="720" w:gutter="0"/>
          <w:cols w:space="720" w:num="1" w:equalWidth="0">
            <w:col w:w="1046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6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4"/>
        </w:rPr>
        <w:t>ABSTRACT</w:t>
      </w:r>
    </w:p>
    <w:p>
      <w:pPr>
        <w:autoSpaceDN w:val="0"/>
        <w:autoSpaceDE w:val="0"/>
        <w:widowControl/>
        <w:spacing w:line="210" w:lineRule="exact" w:before="68" w:after="0"/>
        <w:ind w:left="0" w:right="0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 xml:space="preserve">Computational epidemiology employs computer models and </w:t>
      </w:r>
      <w:r>
        <w:rPr>
          <w:w w:val="98.62096574571397"/>
          <w:rFonts w:ascii="CMR9" w:hAnsi="CMR9" w:eastAsia="CMR9"/>
          <w:b w:val="0"/>
          <w:i w:val="0"/>
          <w:color w:val="000000"/>
          <w:sz w:val="18"/>
        </w:rPr>
        <w:t xml:space="preserve">informatics tools to reason about the spatio-temporal spread </w:t>
      </w:r>
      <w:r>
        <w:rPr>
          <w:w w:val="98.62096574571397"/>
          <w:rFonts w:ascii="CMR9" w:hAnsi="CMR9" w:eastAsia="CMR9"/>
          <w:b w:val="0"/>
          <w:i w:val="0"/>
          <w:color w:val="000000"/>
          <w:sz w:val="18"/>
        </w:rPr>
        <w:t>of diseases. The diversity of models, data sources, data repre-</w:t>
      </w:r>
      <w:r>
        <w:rPr>
          <w:w w:val="98.62096574571397"/>
          <w:rFonts w:ascii="CMR9" w:hAnsi="CMR9" w:eastAsia="CMR9"/>
          <w:b w:val="0"/>
          <w:i w:val="0"/>
          <w:color w:val="000000"/>
          <w:sz w:val="18"/>
        </w:rPr>
        <w:t>sentations, and modalities that are collected, used, and modi-</w:t>
      </w:r>
      <w:r>
        <w:rPr>
          <w:w w:val="98.62096574571397"/>
          <w:rFonts w:ascii="CMR9" w:hAnsi="CMR9" w:eastAsia="CMR9"/>
          <w:b w:val="0"/>
          <w:i w:val="0"/>
          <w:color w:val="000000"/>
          <w:sz w:val="18"/>
        </w:rPr>
        <w:t>fied motivate the development of a digital library (DL) frame-</w:t>
      </w:r>
      <w:r>
        <w:rPr>
          <w:rFonts w:ascii="CMR9" w:hAnsi="CMR9" w:eastAsia="CMR9"/>
          <w:b w:val="0"/>
          <w:i w:val="0"/>
          <w:color w:val="000000"/>
          <w:sz w:val="18"/>
        </w:rPr>
        <w:t>work to support computational epidemiology. The heteroge-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neous content includes metadata, text, tables, spreadsheets,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experimental descriptions, and large result files. There is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no accepted framework that allows unified access to such </w:t>
      </w:r>
      <w:r>
        <w:rPr>
          <w:w w:val="98.62096574571397"/>
          <w:rFonts w:ascii="CMR9" w:hAnsi="CMR9" w:eastAsia="CMR9"/>
          <w:b w:val="0"/>
          <w:i w:val="0"/>
          <w:color w:val="000000"/>
          <w:sz w:val="18"/>
        </w:rPr>
        <w:t xml:space="preserve">content. We propose a framework for a digital library system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tailored to such datasets to support computational network </w:t>
      </w:r>
      <w:r>
        <w:rPr>
          <w:rFonts w:ascii="CMR9" w:hAnsi="CMR9" w:eastAsia="CMR9"/>
          <w:b w:val="0"/>
          <w:i w:val="0"/>
          <w:color w:val="000000"/>
          <w:sz w:val="18"/>
        </w:rPr>
        <w:t>epidemiology.</w:t>
      </w:r>
    </w:p>
    <w:p>
      <w:pPr>
        <w:autoSpaceDN w:val="0"/>
        <w:autoSpaceDE w:val="0"/>
        <w:widowControl/>
        <w:spacing w:line="238" w:lineRule="exact" w:before="302" w:after="0"/>
        <w:ind w:left="6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4"/>
        </w:rPr>
        <w:t>Categories and Subject Descriptors</w:t>
      </w:r>
    </w:p>
    <w:p>
      <w:pPr>
        <w:autoSpaceDN w:val="0"/>
        <w:autoSpaceDE w:val="0"/>
        <w:widowControl/>
        <w:spacing w:line="180" w:lineRule="exact" w:before="100" w:after="0"/>
        <w:ind w:left="6" w:right="0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>H.3.7 [</w:t>
      </w:r>
      <w:r>
        <w:rPr>
          <w:rFonts w:ascii="CMBX9" w:hAnsi="CMBX9" w:eastAsia="CMBX9"/>
          <w:b w:val="0"/>
          <w:i w:val="0"/>
          <w:color w:val="000000"/>
          <w:sz w:val="18"/>
        </w:rPr>
        <w:t>Digital Libraries</w:t>
      </w:r>
      <w:r>
        <w:rPr>
          <w:rFonts w:ascii="CMR9" w:hAnsi="CMR9" w:eastAsia="CMR9"/>
          <w:b w:val="0"/>
          <w:i w:val="0"/>
          <w:color w:val="000000"/>
          <w:sz w:val="18"/>
        </w:rPr>
        <w:t>]: Systems issues.</w:t>
      </w:r>
    </w:p>
    <w:p>
      <w:pPr>
        <w:autoSpaceDN w:val="0"/>
        <w:autoSpaceDE w:val="0"/>
        <w:widowControl/>
        <w:spacing w:line="240" w:lineRule="exact" w:before="302" w:after="0"/>
        <w:ind w:left="6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4"/>
        </w:rPr>
        <w:t>Keywords</w:t>
      </w:r>
    </w:p>
    <w:p>
      <w:pPr>
        <w:autoSpaceDN w:val="0"/>
        <w:autoSpaceDE w:val="0"/>
        <w:widowControl/>
        <w:spacing w:line="178" w:lineRule="exact" w:before="100" w:after="0"/>
        <w:ind w:left="6" w:right="0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>Digital library, Epidemiology, Simulation</w:t>
      </w:r>
    </w:p>
    <w:p>
      <w:pPr>
        <w:autoSpaceDN w:val="0"/>
        <w:tabs>
          <w:tab w:pos="424" w:val="left"/>
        </w:tabs>
        <w:autoSpaceDE w:val="0"/>
        <w:widowControl/>
        <w:spacing w:line="240" w:lineRule="exact" w:before="302" w:after="0"/>
        <w:ind w:left="6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4"/>
        </w:rPr>
        <w:t xml:space="preserve">1.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4"/>
        </w:rPr>
        <w:t>INTRODUCTION</w:t>
      </w:r>
    </w:p>
    <w:p>
      <w:pPr>
        <w:autoSpaceDN w:val="0"/>
        <w:autoSpaceDE w:val="0"/>
        <w:widowControl/>
        <w:spacing w:line="210" w:lineRule="exact" w:before="40" w:after="0"/>
        <w:ind w:left="6" w:right="0" w:firstLine="18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>Computer simulations play an important role in under-</w:t>
      </w:r>
      <w:r>
        <w:rPr>
          <w:w w:val="98.62096574571397"/>
          <w:rFonts w:ascii="CMR9" w:hAnsi="CMR9" w:eastAsia="CMR9"/>
          <w:b w:val="0"/>
          <w:i w:val="0"/>
          <w:color w:val="000000"/>
          <w:sz w:val="18"/>
        </w:rPr>
        <w:t xml:space="preserve">standing the spatio-temporal properties of diseases, especially </w:t>
      </w:r>
      <w:r>
        <w:rPr>
          <w:w w:val="98.62096574571397"/>
          <w:rFonts w:ascii="CMR9" w:hAnsi="CMR9" w:eastAsia="CMR9"/>
          <w:b w:val="0"/>
          <w:i w:val="0"/>
          <w:color w:val="000000"/>
          <w:sz w:val="18"/>
        </w:rPr>
        <w:t xml:space="preserve">due to the fact that, unlike in the physical sciences, real world </w:t>
      </w:r>
      <w:r>
        <w:rPr>
          <w:w w:val="98.8220320807563"/>
          <w:rFonts w:ascii="CMR9" w:hAnsi="CMR9" w:eastAsia="CMR9"/>
          <w:b w:val="0"/>
          <w:i w:val="0"/>
          <w:color w:val="000000"/>
          <w:sz w:val="18"/>
        </w:rPr>
        <w:t xml:space="preserve">experiments are usually not possible. Studies are conducted, </w:t>
      </w:r>
      <w:r>
        <w:rPr>
          <w:w w:val="98.62096574571397"/>
          <w:rFonts w:ascii="CMR9" w:hAnsi="CMR9" w:eastAsia="CMR9"/>
          <w:b w:val="0"/>
          <w:i w:val="0"/>
          <w:color w:val="000000"/>
          <w:sz w:val="18"/>
        </w:rPr>
        <w:t>in general, through the use of a simulation and require infor-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mation on the population structure, agent behavior, disease </w:t>
      </w:r>
      <w:r>
        <w:rPr>
          <w:w w:val="98.97255367702908"/>
          <w:rFonts w:ascii="CMR9" w:hAnsi="CMR9" w:eastAsia="CMR9"/>
          <w:b w:val="0"/>
          <w:i w:val="0"/>
          <w:color w:val="000000"/>
          <w:sz w:val="18"/>
        </w:rPr>
        <w:t xml:space="preserve">transmission, and a model of the disease. Table 1 shows the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type, size, and format for some of the datasets present in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networked epidemiology [1]. Data access and digital library </w:t>
      </w:r>
      <w:r>
        <w:rPr>
          <w:w w:val="98.62096574571397"/>
          <w:rFonts w:ascii="CMR9" w:hAnsi="CMR9" w:eastAsia="CMR9"/>
          <w:b w:val="0"/>
          <w:i w:val="0"/>
          <w:color w:val="000000"/>
          <w:sz w:val="18"/>
        </w:rPr>
        <w:t>services in current setups are cumbersome due to heterogene-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ity and fragmentation across datasets. We propose a data </w:t>
      </w:r>
      <w:r>
        <w:rPr>
          <w:rFonts w:ascii="CMR9" w:hAnsi="CMR9" w:eastAsia="CMR9"/>
          <w:b w:val="0"/>
          <w:i w:val="0"/>
          <w:color w:val="000000"/>
          <w:sz w:val="18"/>
        </w:rPr>
        <w:t>mapping framework for digital library systems for compu-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tational epidemiology datasets. The proposed framework </w:t>
      </w:r>
      <w:r>
        <w:rPr>
          <w:rFonts w:ascii="CMR9" w:hAnsi="CMR9" w:eastAsia="CMR9"/>
          <w:b w:val="0"/>
          <w:i w:val="0"/>
          <w:color w:val="000000"/>
          <w:sz w:val="18"/>
        </w:rPr>
        <w:t>provides a unified view to access data (Figure 1).</w:t>
      </w:r>
    </w:p>
    <w:p>
      <w:pPr>
        <w:autoSpaceDN w:val="0"/>
        <w:autoSpaceDE w:val="0"/>
        <w:widowControl/>
        <w:spacing w:line="186" w:lineRule="exact" w:before="1906" w:after="0"/>
        <w:ind w:left="6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16"/>
        </w:rPr>
        <w:t>978-1-4799-5569-5/14/$31.00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 c</w:t>
      </w:r>
      <w:r>
        <w:rPr>
          <w:rFonts w:ascii="CMSY9" w:hAnsi="CMSY9" w:eastAsia="CMSY9"/>
          <w:b w:val="0"/>
          <w:i w:val="0"/>
          <w:color w:val="000000"/>
          <w:sz w:val="18"/>
        </w:rPr>
        <w:t>⃝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2014 IEEE.</w:t>
      </w:r>
    </w:p>
    <w:p>
      <w:pPr>
        <w:sectPr>
          <w:type w:val="continuous"/>
          <w:pgSz w:w="12240" w:h="15840"/>
          <w:pgMar w:top="716" w:right="706" w:bottom="264" w:left="1070" w:header="720" w:footer="720" w:gutter="0"/>
          <w:cols w:space="720" w:num="2" w:equalWidth="0">
            <w:col w:w="4868" w:space="0"/>
            <w:col w:w="5596" w:space="0"/>
            <w:col w:w="1046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0"/>
        <w:ind w:left="48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>449</w:t>
      </w:r>
    </w:p>
    <w:p>
      <w:pPr>
        <w:sectPr>
          <w:type w:val="nextColumn"/>
          <w:pgSz w:w="12240" w:h="15840"/>
          <w:pgMar w:top="716" w:right="706" w:bottom="264" w:left="1070" w:header="720" w:footer="720" w:gutter="0"/>
          <w:cols w:space="720" w:num="2" w:equalWidth="0">
            <w:col w:w="4868" w:space="0"/>
            <w:col w:w="5596" w:space="0"/>
            <w:col w:w="1046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0"/>
        <w:ind w:left="0" w:right="0"/>
      </w:pPr>
    </w:p>
    <w:p>
      <w:pPr>
        <w:sectPr>
          <w:pgSz w:w="12240" w:h="15840"/>
          <w:pgMar w:top="570" w:right="1038" w:bottom="264" w:left="1020" w:header="720" w:footer="720" w:gutter="0"/>
          <w:cols w:space="720" w:num="2" w:equalWidth="0">
            <w:col w:w="4868" w:space="0"/>
            <w:col w:w="5596" w:space="0"/>
            <w:col w:w="10464" w:space="0"/>
          </w:cols>
          <w:docGrid w:linePitch="360"/>
        </w:sectPr>
      </w:pPr>
    </w:p>
    <w:p>
      <w:pPr>
        <w:autoSpaceDN w:val="0"/>
        <w:autoSpaceDE w:val="0"/>
        <w:widowControl/>
        <w:spacing w:line="196" w:lineRule="exact" w:before="0" w:after="0"/>
        <w:ind w:left="56" w:right="144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 xml:space="preserve">physical (native) representation of the datasets, written in </w:t>
      </w:r>
      <w:r>
        <w:rPr>
          <w:rFonts w:ascii="CMR9" w:hAnsi="CMR9" w:eastAsia="CMR9"/>
          <w:b w:val="0"/>
          <w:i w:val="0"/>
          <w:color w:val="000000"/>
          <w:sz w:val="18"/>
        </w:rPr>
        <w:t>SQL. Figure 2 illustrates both of the approaches.</w:t>
      </w:r>
    </w:p>
    <w:p>
      <w:pPr>
        <w:autoSpaceDN w:val="0"/>
        <w:autoSpaceDE w:val="0"/>
        <w:widowControl/>
        <w:spacing w:line="240" w:lineRule="auto" w:before="324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108960" cy="34086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34086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80" w:lineRule="exact" w:before="274" w:after="0"/>
        <w:ind w:left="0" w:right="1676" w:firstLine="0"/>
        <w:jc w:val="right"/>
      </w:pPr>
      <w:r>
        <w:rPr>
          <w:rFonts w:ascii="CMBX9" w:hAnsi="CMBX9" w:eastAsia="CMBX9"/>
          <w:b w:val="0"/>
          <w:i w:val="0"/>
          <w:color w:val="000000"/>
          <w:sz w:val="18"/>
        </w:rPr>
        <w:t>Figure 2: Framework</w:t>
      </w:r>
    </w:p>
    <w:p>
      <w:pPr>
        <w:autoSpaceDN w:val="0"/>
        <w:tabs>
          <w:tab w:pos="474" w:val="left"/>
        </w:tabs>
        <w:autoSpaceDE w:val="0"/>
        <w:widowControl/>
        <w:spacing w:line="240" w:lineRule="exact" w:before="504" w:after="0"/>
        <w:ind w:left="56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4"/>
        </w:rPr>
        <w:t xml:space="preserve">3.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4"/>
        </w:rPr>
        <w:t>EXPERIMENTAL STUDY</w:t>
      </w:r>
    </w:p>
    <w:p>
      <w:pPr>
        <w:autoSpaceDN w:val="0"/>
        <w:autoSpaceDE w:val="0"/>
        <w:widowControl/>
        <w:spacing w:line="210" w:lineRule="exact" w:before="38" w:after="0"/>
        <w:ind w:left="56" w:right="144" w:firstLine="180"/>
        <w:jc w:val="left"/>
      </w:pPr>
      <w:r>
        <w:rPr>
          <w:rFonts w:ascii="CMBX9" w:hAnsi="CMBX9" w:eastAsia="CMBX9"/>
          <w:b w:val="0"/>
          <w:i w:val="0"/>
          <w:color w:val="000000"/>
          <w:sz w:val="18"/>
        </w:rPr>
        <w:t>Datasets: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 To evaluate our framework, we considered a </w:t>
      </w:r>
      <w:r>
        <w:rPr>
          <w:rFonts w:ascii="CMR9" w:hAnsi="CMR9" w:eastAsia="CMR9"/>
          <w:b w:val="0"/>
          <w:i w:val="0"/>
          <w:color w:val="000000"/>
          <w:sz w:val="18"/>
        </w:rPr>
        <w:t>real-time epidemiology simulation study conducted in the</w:t>
      </w:r>
    </w:p>
    <w:p>
      <w:pPr>
        <w:sectPr>
          <w:type w:val="continuous"/>
          <w:pgSz w:w="12240" w:h="15840"/>
          <w:pgMar w:top="570" w:right="1038" w:bottom="264" w:left="1020" w:header="720" w:footer="720" w:gutter="0"/>
          <w:cols w:space="720" w:num="2" w:equalWidth="0">
            <w:col w:w="5104" w:space="0"/>
            <w:col w:w="5078" w:space="0"/>
            <w:col w:w="4868" w:space="0"/>
            <w:col w:w="5596" w:space="0"/>
            <w:col w:w="10464" w:space="0"/>
          </w:cols>
          <w:docGrid w:linePitch="360"/>
        </w:sectPr>
      </w:pPr>
    </w:p>
    <w:p>
      <w:pPr>
        <w:autoSpaceDN w:val="0"/>
        <w:autoSpaceDE w:val="0"/>
        <w:widowControl/>
        <w:spacing w:line="208" w:lineRule="exact" w:before="0" w:after="0"/>
        <w:ind w:left="208" w:right="0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 xml:space="preserve">graphs. Table 2 shows that for large synthetic populations </w:t>
      </w:r>
      <w:r>
        <w:rPr>
          <w:rFonts w:ascii="CMR9" w:hAnsi="CMR9" w:eastAsia="CMR9"/>
          <w:b w:val="0"/>
          <w:i w:val="0"/>
          <w:color w:val="000000"/>
          <w:sz w:val="18"/>
        </w:rPr>
        <w:t>relational data creates a large number of RDF triples, tak-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ing considerable time to generate such an RDF graph. To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measure the strength of the framework we execute various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queries collected from epidemiology scientists. All of our </w:t>
      </w:r>
      <w:r>
        <w:rPr>
          <w:rFonts w:ascii="CMR9" w:hAnsi="CMR9" w:eastAsia="CMR9"/>
          <w:b w:val="0"/>
          <w:i w:val="0"/>
          <w:color w:val="000000"/>
          <w:sz w:val="18"/>
        </w:rPr>
        <w:t>queries are written in the SPARQL language. We imple-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ment the bottom-up approach through the Virtuoso tool. It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enables us to execute SPARQL queries over the complete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epidemiology workflow datasets. The top-down approach is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implemented with the D2RQ query facility. That allows us </w:t>
      </w:r>
      <w:r>
        <w:rPr>
          <w:w w:val="98.62096574571397"/>
          <w:rFonts w:ascii="CMR9" w:hAnsi="CMR9" w:eastAsia="CMR9"/>
          <w:b w:val="0"/>
          <w:i w:val="0"/>
          <w:color w:val="000000"/>
          <w:sz w:val="18"/>
        </w:rPr>
        <w:t xml:space="preserve">to execute SPARQL queries against a relational database by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using D2RQ mapping files. We find that in the bottom-up </w:t>
      </w:r>
      <w:r>
        <w:rPr>
          <w:w w:val="98.72154659695096"/>
          <w:rFonts w:ascii="CMR9" w:hAnsi="CMR9" w:eastAsia="CMR9"/>
          <w:b w:val="0"/>
          <w:i w:val="0"/>
          <w:color w:val="000000"/>
          <w:sz w:val="18"/>
        </w:rPr>
        <w:t xml:space="preserve">approach we have large storage cost and it is problematic to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execute queries on large graphs. On the other hand in the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top-down approach we don’t have any RDF graph storage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cost and it works properly even for large graphs. However, </w:t>
      </w:r>
      <w:r>
        <w:rPr>
          <w:w w:val="98.62096574571397"/>
          <w:rFonts w:ascii="CMR9" w:hAnsi="CMR9" w:eastAsia="CMR9"/>
          <w:b w:val="0"/>
          <w:i w:val="0"/>
          <w:color w:val="000000"/>
          <w:sz w:val="18"/>
        </w:rPr>
        <w:t xml:space="preserve">execution for top-down is not as efficient as bottom up. Table </w:t>
      </w:r>
      <w:r>
        <w:rPr>
          <w:rFonts w:ascii="CMR9" w:hAnsi="CMR9" w:eastAsia="CMR9"/>
          <w:b w:val="0"/>
          <w:i w:val="0"/>
          <w:color w:val="000000"/>
          <w:sz w:val="18"/>
        </w:rPr>
        <w:t>3 illustrates a comparison of the two approaches.</w:t>
      </w:r>
    </w:p>
    <w:p>
      <w:pPr>
        <w:autoSpaceDN w:val="0"/>
        <w:autoSpaceDE w:val="0"/>
        <w:widowControl/>
        <w:spacing w:line="180" w:lineRule="exact" w:before="362" w:after="10"/>
        <w:ind w:left="0" w:right="1332" w:firstLine="0"/>
        <w:jc w:val="right"/>
      </w:pPr>
      <w:r>
        <w:rPr>
          <w:rFonts w:ascii="CMBX9" w:hAnsi="CMBX9" w:eastAsia="CMBX9"/>
          <w:b w:val="0"/>
          <w:i w:val="0"/>
          <w:color w:val="000000"/>
          <w:sz w:val="18"/>
        </w:rPr>
        <w:t>Table 3: Query Runtime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12.00000000000045" w:type="dxa"/>
      </w:tblPr>
      <w:tblGrid>
        <w:gridCol w:w="3394"/>
        <w:gridCol w:w="3394"/>
        <w:gridCol w:w="3394"/>
      </w:tblGrid>
      <w:tr>
        <w:trPr>
          <w:trHeight w:hRule="exact" w:val="1266"/>
        </w:trPr>
        <w:tc>
          <w:tcPr>
            <w:tcW w:type="dxa" w:w="2212"/>
            <w:tcBorders>
              <w:start w:sz="3.9839999675750732" w:val="single" w:color="#000000"/>
              <w:top w:sz="3.9839999675750732" w:val="single" w:color="#000000"/>
              <w:end w:sz="3.9839999675750732" w:val="single" w:color="#000000"/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40" w:after="0"/>
              <w:ind w:left="104" w:right="0" w:firstLine="0"/>
              <w:jc w:val="left"/>
            </w:pPr>
            <w:r>
              <w:rPr>
                <w:rFonts w:ascii="CMBX9" w:hAnsi="CMBX9" w:eastAsia="CMBX9"/>
                <w:b w:val="0"/>
                <w:i w:val="0"/>
                <w:color w:val="000000"/>
                <w:sz w:val="18"/>
              </w:rPr>
              <w:t>Queries</w:t>
            </w:r>
          </w:p>
        </w:tc>
        <w:tc>
          <w:tcPr>
            <w:tcW w:type="dxa" w:w="1266"/>
            <w:tcBorders>
              <w:start w:sz="3.9839999675750732" w:val="single" w:color="#000000"/>
              <w:top w:sz="3.9839999675750732" w:val="single" w:color="#000000"/>
              <w:end w:sz="3.9839999675750732" w:val="single" w:color="#000000"/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0" w:firstLine="0"/>
              <w:jc w:val="center"/>
            </w:pPr>
            <w:r>
              <w:rPr>
                <w:rFonts w:ascii="CMBX9" w:hAnsi="CMBX9" w:eastAsia="CMBX9"/>
                <w:b w:val="0"/>
                <w:i w:val="0"/>
                <w:color w:val="000000"/>
                <w:sz w:val="18"/>
              </w:rPr>
              <w:t xml:space="preserve">Bottom-up </w:t>
            </w:r>
            <w:r>
              <w:rPr>
                <w:rFonts w:ascii="CMBX9" w:hAnsi="CMBX9" w:eastAsia="CMBX9"/>
                <w:b w:val="0"/>
                <w:i w:val="0"/>
                <w:color w:val="000000"/>
                <w:sz w:val="18"/>
              </w:rPr>
              <w:t xml:space="preserve">Approach </w:t>
            </w:r>
            <w:r>
              <w:br/>
            </w:r>
            <w:r>
              <w:rPr>
                <w:rFonts w:ascii="CMBX9" w:hAnsi="CMBX9" w:eastAsia="CMBX9"/>
                <w:b w:val="0"/>
                <w:i w:val="0"/>
                <w:color w:val="000000"/>
                <w:sz w:val="18"/>
              </w:rPr>
              <w:t xml:space="preserve">(SPARQL </w:t>
            </w:r>
            <w:r>
              <w:br/>
            </w:r>
            <w:r>
              <w:rPr>
                <w:rFonts w:ascii="CMBX9" w:hAnsi="CMBX9" w:eastAsia="CMBX9"/>
                <w:b w:val="0"/>
                <w:i w:val="0"/>
                <w:color w:val="000000"/>
                <w:sz w:val="18"/>
              </w:rPr>
              <w:t xml:space="preserve">Query </w:t>
            </w:r>
            <w:r>
              <w:br/>
            </w:r>
            <w:r>
              <w:rPr>
                <w:rFonts w:ascii="CMBX9" w:hAnsi="CMBX9" w:eastAsia="CMBX9"/>
                <w:b w:val="0"/>
                <w:i w:val="0"/>
                <w:color w:val="000000"/>
                <w:sz w:val="18"/>
              </w:rPr>
              <w:t xml:space="preserve">Runtime in </w:t>
            </w:r>
            <w:r>
              <w:rPr>
                <w:rFonts w:ascii="CMBX9" w:hAnsi="CMBX9" w:eastAsia="CMBX9"/>
                <w:b w:val="0"/>
                <w:i w:val="0"/>
                <w:color w:val="000000"/>
                <w:sz w:val="18"/>
              </w:rPr>
              <w:t>Seconds)</w:t>
            </w:r>
          </w:p>
        </w:tc>
        <w:tc>
          <w:tcPr>
            <w:tcW w:type="dxa" w:w="1268"/>
            <w:tcBorders>
              <w:start w:sz="3.9839999675750732" w:val="single" w:color="#000000"/>
              <w:top w:sz="3.9839999675750732" w:val="single" w:color="#000000"/>
              <w:end w:sz="3.9839999675750732" w:val="single" w:color="#000000"/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0" w:firstLine="0"/>
              <w:jc w:val="center"/>
            </w:pPr>
            <w:r>
              <w:rPr>
                <w:rFonts w:ascii="CMBX9" w:hAnsi="CMBX9" w:eastAsia="CMBX9"/>
                <w:b w:val="0"/>
                <w:i w:val="0"/>
                <w:color w:val="000000"/>
                <w:sz w:val="18"/>
              </w:rPr>
              <w:t xml:space="preserve">Top-down </w:t>
            </w:r>
            <w:r>
              <w:br/>
            </w:r>
            <w:r>
              <w:rPr>
                <w:rFonts w:ascii="CMBX9" w:hAnsi="CMBX9" w:eastAsia="CMBX9"/>
                <w:b w:val="0"/>
                <w:i w:val="0"/>
                <w:color w:val="000000"/>
                <w:sz w:val="18"/>
              </w:rPr>
              <w:t xml:space="preserve">Approach </w:t>
            </w:r>
            <w:r>
              <w:br/>
            </w:r>
            <w:r>
              <w:rPr>
                <w:rFonts w:ascii="CMBX9" w:hAnsi="CMBX9" w:eastAsia="CMBX9"/>
                <w:b w:val="0"/>
                <w:i w:val="0"/>
                <w:color w:val="000000"/>
                <w:sz w:val="18"/>
              </w:rPr>
              <w:t xml:space="preserve">(SPARQL </w:t>
            </w:r>
            <w:r>
              <w:br/>
            </w:r>
            <w:r>
              <w:rPr>
                <w:rFonts w:ascii="CMBX9" w:hAnsi="CMBX9" w:eastAsia="CMBX9"/>
                <w:b w:val="0"/>
                <w:i w:val="0"/>
                <w:color w:val="000000"/>
                <w:sz w:val="18"/>
              </w:rPr>
              <w:t xml:space="preserve">Query </w:t>
            </w:r>
            <w:r>
              <w:br/>
            </w:r>
            <w:r>
              <w:rPr>
                <w:rFonts w:ascii="CMBX9" w:hAnsi="CMBX9" w:eastAsia="CMBX9"/>
                <w:b w:val="0"/>
                <w:i w:val="0"/>
                <w:color w:val="000000"/>
                <w:sz w:val="18"/>
              </w:rPr>
              <w:t xml:space="preserve">Runtime in </w:t>
            </w:r>
            <w:r>
              <w:rPr>
                <w:rFonts w:ascii="CMBX9" w:hAnsi="CMBX9" w:eastAsia="CMBX9"/>
                <w:b w:val="0"/>
                <w:i w:val="0"/>
                <w:color w:val="000000"/>
                <w:sz w:val="18"/>
              </w:rPr>
              <w:t>Seconds)</w:t>
            </w:r>
          </w:p>
        </w:tc>
      </w:tr>
      <w:tr>
        <w:trPr>
          <w:trHeight w:hRule="exact" w:val="638"/>
        </w:trPr>
        <w:tc>
          <w:tcPr>
            <w:tcW w:type="dxa" w:w="2212"/>
            <w:tcBorders>
              <w:start w:sz="3.9839999675750732" w:val="single" w:color="#000000"/>
              <w:top w:sz="3.9839999675750732" w:val="single" w:color="#000000"/>
              <w:end w:sz="3.9839999675750732" w:val="single" w:color="#000000"/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0" w:after="0"/>
              <w:ind w:left="104" w:right="144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How many people of a 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particular demographic 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are sick?</w:t>
            </w:r>
          </w:p>
        </w:tc>
        <w:tc>
          <w:tcPr>
            <w:tcW w:type="dxa" w:w="1266"/>
            <w:tcBorders>
              <w:start w:sz="3.9839999675750732" w:val="single" w:color="#000000"/>
              <w:top w:sz="3.9839999675750732" w:val="single" w:color="#000000"/>
              <w:end w:sz="3.9839999675750732" w:val="single" w:color="#000000"/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26" w:after="0"/>
              <w:ind w:left="0" w:right="0" w:firstLine="0"/>
              <w:jc w:val="center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0.04</w:t>
            </w:r>
          </w:p>
        </w:tc>
        <w:tc>
          <w:tcPr>
            <w:tcW w:type="dxa" w:w="1268"/>
            <w:tcBorders>
              <w:start w:sz="3.9839999675750732" w:val="single" w:color="#000000"/>
              <w:top w:sz="3.9839999675750732" w:val="single" w:color="#000000"/>
              <w:end w:sz="3.9839999675750732" w:val="single" w:color="#000000"/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26" w:after="0"/>
              <w:ind w:left="0" w:right="0" w:firstLine="0"/>
              <w:jc w:val="center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7.18</w:t>
            </w:r>
          </w:p>
        </w:tc>
      </w:tr>
      <w:tr>
        <w:trPr>
          <w:trHeight w:hRule="exact" w:val="638"/>
        </w:trPr>
        <w:tc>
          <w:tcPr>
            <w:tcW w:type="dxa" w:w="2212"/>
            <w:tcBorders>
              <w:start w:sz="3.9839999675750732" w:val="single" w:color="#000000"/>
              <w:top w:sz="3.9839999675750732" w:val="single" w:color="#000000"/>
              <w:end w:sz="3.9839999675750732" w:val="single" w:color="#000000"/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0" w:after="0"/>
              <w:ind w:left="104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Find who infected whom 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of a particular </w:t>
            </w:r>
            <w:r>
              <w:br/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demographic</w:t>
            </w:r>
          </w:p>
        </w:tc>
        <w:tc>
          <w:tcPr>
            <w:tcW w:type="dxa" w:w="1266"/>
            <w:tcBorders>
              <w:start w:sz="3.9839999675750732" w:val="single" w:color="#000000"/>
              <w:top w:sz="3.9839999675750732" w:val="single" w:color="#000000"/>
              <w:end w:sz="3.9839999675750732" w:val="single" w:color="#000000"/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24" w:after="0"/>
              <w:ind w:left="0" w:right="0" w:firstLine="0"/>
              <w:jc w:val="center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0.38</w:t>
            </w:r>
          </w:p>
        </w:tc>
        <w:tc>
          <w:tcPr>
            <w:tcW w:type="dxa" w:w="1268"/>
            <w:tcBorders>
              <w:start w:sz="3.9839999675750732" w:val="single" w:color="#000000"/>
              <w:top w:sz="3.9839999675750732" w:val="single" w:color="#000000"/>
              <w:end w:sz="3.9839999675750732" w:val="single" w:color="#000000"/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24" w:after="0"/>
              <w:ind w:left="0" w:right="0" w:firstLine="0"/>
              <w:jc w:val="center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9.18</w:t>
            </w:r>
          </w:p>
        </w:tc>
      </w:tr>
      <w:tr>
        <w:trPr>
          <w:trHeight w:hRule="exact" w:val="616"/>
        </w:trPr>
        <w:tc>
          <w:tcPr>
            <w:tcW w:type="dxa" w:w="2212"/>
            <w:tcBorders>
              <w:start w:sz="3.9839999675750732" w:val="single" w:color="#000000"/>
              <w:top w:sz="3.9839999675750732" w:val="single" w:color="#000000"/>
              <w:end w:sz="3.9839999675750732" w:val="single" w:color="#000000"/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0" w:after="0"/>
              <w:ind w:left="104" w:right="144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How many people get 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infected on a particular 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simulation day?</w:t>
            </w:r>
          </w:p>
        </w:tc>
        <w:tc>
          <w:tcPr>
            <w:tcW w:type="dxa" w:w="1266"/>
            <w:tcBorders>
              <w:start w:sz="3.9839999675750732" w:val="single" w:color="#000000"/>
              <w:top w:sz="3.9839999675750732" w:val="single" w:color="#000000"/>
              <w:end w:sz="3.9839999675750732" w:val="single" w:color="#000000"/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24" w:after="0"/>
              <w:ind w:left="0" w:right="0" w:firstLine="0"/>
              <w:jc w:val="center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0.03</w:t>
            </w:r>
          </w:p>
        </w:tc>
        <w:tc>
          <w:tcPr>
            <w:tcW w:type="dxa" w:w="1268"/>
            <w:tcBorders>
              <w:start w:sz="3.9839999675750732" w:val="single" w:color="#000000"/>
              <w:top w:sz="3.9839999675750732" w:val="single" w:color="#000000"/>
              <w:end w:sz="3.9839999675750732" w:val="single" w:color="#000000"/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24" w:after="0"/>
              <w:ind w:left="0" w:right="0" w:firstLine="0"/>
              <w:jc w:val="center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5.76</w:t>
            </w:r>
          </w:p>
        </w:tc>
      </w:tr>
    </w:tbl>
    <w:p>
      <w:pPr>
        <w:autoSpaceDN w:val="0"/>
        <w:autoSpaceDE w:val="0"/>
        <w:widowControl/>
        <w:spacing w:line="14" w:lineRule="exact" w:before="0" w:after="292"/>
        <w:ind w:left="0" w:right="0"/>
      </w:pPr>
    </w:p>
    <w:p>
      <w:pPr>
        <w:sectPr>
          <w:type w:val="nextColumn"/>
          <w:pgSz w:w="12240" w:h="15840"/>
          <w:pgMar w:top="570" w:right="1038" w:bottom="264" w:left="1020" w:header="720" w:footer="720" w:gutter="0"/>
          <w:cols w:space="720" w:num="2" w:equalWidth="0">
            <w:col w:w="5104" w:space="0"/>
            <w:col w:w="5078" w:space="0"/>
            <w:col w:w="4868" w:space="0"/>
            <w:col w:w="5596" w:space="0"/>
            <w:col w:w="1046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3394"/>
        <w:gridCol w:w="3394"/>
        <w:gridCol w:w="3394"/>
      </w:tblGrid>
      <w:tr>
        <w:trPr>
          <w:trHeight w:hRule="exact" w:val="192"/>
        </w:trPr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36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Seattle area. The study assumed that influenza transmits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4" w:after="0"/>
              <w:ind w:left="0" w:right="104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4"/>
              </w:rPr>
              <w:t>4.</w:t>
            </w:r>
          </w:p>
        </w:tc>
        <w:tc>
          <w:tcPr>
            <w:tcW w:type="dxa" w:w="3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4" w:after="0"/>
              <w:ind w:left="13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4"/>
              </w:rPr>
              <w:t>CONCLUSION</w:t>
            </w:r>
          </w:p>
        </w:tc>
      </w:tr>
      <w:tr>
        <w:trPr>
          <w:trHeight w:hRule="exact" w:val="176"/>
        </w:trPr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8" w:after="0"/>
              <w:ind w:left="36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in various regional populations through person-person con-</w:t>
            </w:r>
          </w:p>
        </w:tc>
        <w:tc>
          <w:tcPr>
            <w:tcW w:type="dxa" w:w="3394"/>
            <w:vMerge/>
            <w:tcBorders/>
          </w:tcPr>
          <w:p/>
        </w:tc>
        <w:tc>
          <w:tcPr>
            <w:tcW w:type="dxa" w:w="33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30"/>
        <w:ind w:left="0" w:right="0"/>
      </w:pPr>
    </w:p>
    <w:p>
      <w:pPr>
        <w:sectPr>
          <w:type w:val="continuous"/>
          <w:pgSz w:w="12240" w:h="15840"/>
          <w:pgMar w:top="570" w:right="1038" w:bottom="264" w:left="1020" w:header="720" w:footer="720" w:gutter="0"/>
          <w:cols w:space="720" w:num="1" w:equalWidth="0">
            <w:col w:w="10182" w:space="0"/>
            <w:col w:w="5104" w:space="0"/>
            <w:col w:w="5078" w:space="0"/>
            <w:col w:w="4868" w:space="0"/>
            <w:col w:w="5596" w:space="0"/>
            <w:col w:w="10464" w:space="0"/>
          </w:cols>
          <w:docGrid w:linePitch="360"/>
        </w:sectPr>
      </w:pPr>
    </w:p>
    <w:p>
      <w:pPr>
        <w:autoSpaceDN w:val="0"/>
        <w:autoSpaceDE w:val="0"/>
        <w:widowControl/>
        <w:spacing w:line="202" w:lineRule="exact" w:before="0" w:after="0"/>
        <w:ind w:left="0" w:right="144" w:firstLine="0"/>
        <w:jc w:val="center"/>
      </w:pPr>
      <w:r>
        <w:rPr>
          <w:w w:val="98.77180523342557"/>
          <w:rFonts w:ascii="CMR9" w:hAnsi="CMR9" w:eastAsia="CMR9"/>
          <w:b w:val="0"/>
          <w:i w:val="0"/>
          <w:color w:val="000000"/>
          <w:sz w:val="18"/>
        </w:rPr>
        <w:t xml:space="preserve">tact. Simulation is conducted by the EpiFast engine [2] that </w:t>
      </w:r>
      <w:r>
        <w:rPr>
          <w:w w:val="98.72154659695096"/>
          <w:rFonts w:ascii="CMR9" w:hAnsi="CMR9" w:eastAsia="CMR9"/>
          <w:b w:val="0"/>
          <w:i w:val="0"/>
          <w:color w:val="000000"/>
          <w:sz w:val="18"/>
        </w:rPr>
        <w:t>can perform large scale realistic epidemic simulations on dis-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tributed memory systems. We collect 2.33 GB of synthetic </w:t>
      </w:r>
      <w:r>
        <w:rPr>
          <w:w w:val="98.62096574571397"/>
          <w:rFonts w:ascii="CMR9" w:hAnsi="CMR9" w:eastAsia="CMR9"/>
          <w:b w:val="0"/>
          <w:i w:val="0"/>
          <w:color w:val="000000"/>
          <w:sz w:val="18"/>
        </w:rPr>
        <w:t>population data (relational), 4.31 MB of experiment data (re-</w:t>
      </w:r>
    </w:p>
    <w:p>
      <w:pPr>
        <w:sectPr>
          <w:type w:val="continuous"/>
          <w:pgSz w:w="12240" w:h="15840"/>
          <w:pgMar w:top="570" w:right="1038" w:bottom="264" w:left="1020" w:header="720" w:footer="720" w:gutter="0"/>
          <w:cols w:space="720" w:num="2" w:equalWidth="0">
            <w:col w:w="5092" w:space="0"/>
            <w:col w:w="5090" w:space="0"/>
            <w:col w:w="10182" w:space="0"/>
            <w:col w:w="5104" w:space="0"/>
            <w:col w:w="5078" w:space="0"/>
            <w:col w:w="4868" w:space="0"/>
            <w:col w:w="5596" w:space="0"/>
            <w:col w:w="10464" w:space="0"/>
          </w:cols>
          <w:docGrid w:linePitch="360"/>
        </w:sectPr>
      </w:pPr>
    </w:p>
    <w:p>
      <w:pPr>
        <w:autoSpaceDN w:val="0"/>
        <w:autoSpaceDE w:val="0"/>
        <w:widowControl/>
        <w:spacing w:line="202" w:lineRule="exact" w:before="0" w:after="6"/>
        <w:ind w:left="224" w:right="0" w:firstLine="180"/>
        <w:jc w:val="left"/>
      </w:pPr>
      <w:r>
        <w:rPr>
          <w:w w:val="98.97255367702908"/>
          <w:rFonts w:ascii="CMR9" w:hAnsi="CMR9" w:eastAsia="CMR9"/>
          <w:b w:val="0"/>
          <w:i w:val="0"/>
          <w:color w:val="000000"/>
          <w:sz w:val="18"/>
        </w:rPr>
        <w:t xml:space="preserve">In this paper we describe a data mapping framework that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is developed as a part of epidemiology digital library. We </w:t>
      </w:r>
      <w:r>
        <w:rPr>
          <w:w w:val="98.62096574571397"/>
          <w:rFonts w:ascii="CMR9" w:hAnsi="CMR9" w:eastAsia="CMR9"/>
          <w:b w:val="0"/>
          <w:i w:val="0"/>
          <w:color w:val="000000"/>
          <w:sz w:val="18"/>
        </w:rPr>
        <w:t xml:space="preserve">show that it facilitates large scale simulation data unification. </w:t>
      </w:r>
      <w:r>
        <w:rPr>
          <w:rFonts w:ascii="CMR9" w:hAnsi="CMR9" w:eastAsia="CMR9"/>
          <w:b w:val="0"/>
          <w:i w:val="0"/>
          <w:color w:val="000000"/>
          <w:sz w:val="18"/>
        </w:rPr>
        <w:t>Our experiment results show the strengths and weaknesses</w:t>
      </w:r>
    </w:p>
    <w:p>
      <w:pPr>
        <w:sectPr>
          <w:type w:val="nextColumn"/>
          <w:pgSz w:w="12240" w:h="15840"/>
          <w:pgMar w:top="570" w:right="1038" w:bottom="264" w:left="1020" w:header="720" w:footer="720" w:gutter="0"/>
          <w:cols w:space="720" w:num="2" w:equalWidth="0">
            <w:col w:w="5092" w:space="0"/>
            <w:col w:w="5090" w:space="0"/>
            <w:col w:w="10182" w:space="0"/>
            <w:col w:w="5104" w:space="0"/>
            <w:col w:w="5078" w:space="0"/>
            <w:col w:w="4868" w:space="0"/>
            <w:col w:w="5596" w:space="0"/>
            <w:col w:w="10464" w:space="0"/>
          </w:cols>
          <w:docGrid w:linePitch="360"/>
        </w:sectPr>
      </w:pPr>
    </w:p>
    <w:p>
      <w:pPr>
        <w:autoSpaceDN w:val="0"/>
        <w:tabs>
          <w:tab w:pos="5316" w:val="left"/>
        </w:tabs>
        <w:autoSpaceDE w:val="0"/>
        <w:widowControl/>
        <w:spacing w:line="178" w:lineRule="exact" w:before="0" w:after="0"/>
        <w:ind w:left="56" w:right="0" w:firstLine="0"/>
        <w:jc w:val="left"/>
      </w:pPr>
      <w:r>
        <w:rPr>
          <w:w w:val="98.62096574571397"/>
          <w:rFonts w:ascii="CMR9" w:hAnsi="CMR9" w:eastAsia="CMR9"/>
          <w:b w:val="0"/>
          <w:i w:val="0"/>
          <w:color w:val="000000"/>
          <w:sz w:val="18"/>
        </w:rPr>
        <w:t xml:space="preserve">lational), and 44 MB of simulation output data (file). We use </w:t>
      </w:r>
      <w:r>
        <w:tab/>
      </w:r>
      <w:r>
        <w:rPr>
          <w:rFonts w:ascii="CMR9" w:hAnsi="CMR9" w:eastAsia="CMR9"/>
          <w:b w:val="0"/>
          <w:i w:val="0"/>
          <w:color w:val="000000"/>
          <w:sz w:val="18"/>
        </w:rPr>
        <w:t>of the framework.</w:t>
      </w:r>
    </w:p>
    <w:p>
      <w:pPr>
        <w:autoSpaceDN w:val="0"/>
        <w:autoSpaceDE w:val="0"/>
        <w:widowControl/>
        <w:spacing w:line="180" w:lineRule="exact" w:before="4" w:after="30"/>
        <w:ind w:left="56" w:right="0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>the D2RQ Mapping Language to convert relational and file</w:t>
      </w:r>
    </w:p>
    <w:p>
      <w:pPr>
        <w:sectPr>
          <w:type w:val="continuous"/>
          <w:pgSz w:w="12240" w:h="15840"/>
          <w:pgMar w:top="570" w:right="1038" w:bottom="264" w:left="1020" w:header="720" w:footer="720" w:gutter="0"/>
          <w:cols w:space="720" w:num="1" w:equalWidth="0">
            <w:col w:w="10182" w:space="0"/>
            <w:col w:w="5092" w:space="0"/>
            <w:col w:w="5090" w:space="0"/>
            <w:col w:w="10182" w:space="0"/>
            <w:col w:w="5104" w:space="0"/>
            <w:col w:w="5078" w:space="0"/>
            <w:col w:w="4868" w:space="0"/>
            <w:col w:w="5596" w:space="0"/>
            <w:col w:w="10464" w:space="0"/>
          </w:cols>
          <w:docGrid w:linePitch="360"/>
        </w:sectPr>
      </w:pPr>
    </w:p>
    <w:p>
      <w:pPr>
        <w:autoSpaceDN w:val="0"/>
        <w:autoSpaceDE w:val="0"/>
        <w:widowControl/>
        <w:spacing w:line="194" w:lineRule="exact" w:before="0" w:after="0"/>
        <w:ind w:left="0" w:right="144" w:firstLine="0"/>
        <w:jc w:val="center"/>
      </w:pPr>
      <w:r>
        <w:rPr>
          <w:w w:val="98.62096574571397"/>
          <w:rFonts w:ascii="CMR9" w:hAnsi="CMR9" w:eastAsia="CMR9"/>
          <w:b w:val="0"/>
          <w:i w:val="0"/>
          <w:color w:val="000000"/>
          <w:sz w:val="18"/>
        </w:rPr>
        <w:t xml:space="preserve">data to RDF graphs [3], Virtuoso Open-Source Edition 6.1.6 </w:t>
      </w:r>
      <w:r>
        <w:rPr>
          <w:rFonts w:ascii="CMR9" w:hAnsi="CMR9" w:eastAsia="CMR9"/>
          <w:b w:val="0"/>
          <w:i w:val="0"/>
          <w:color w:val="000000"/>
          <w:sz w:val="18"/>
        </w:rPr>
        <w:t>as RDF data engine [4], and the SPARQL query language.</w:t>
      </w:r>
    </w:p>
    <w:p>
      <w:pPr>
        <w:autoSpaceDN w:val="0"/>
        <w:autoSpaceDE w:val="0"/>
        <w:widowControl/>
        <w:spacing w:line="180" w:lineRule="exact" w:before="420" w:after="10"/>
        <w:ind w:left="884" w:right="0" w:firstLine="0"/>
        <w:jc w:val="left"/>
      </w:pPr>
      <w:r>
        <w:rPr>
          <w:rFonts w:ascii="CMBX9" w:hAnsi="CMBX9" w:eastAsia="CMBX9"/>
          <w:b w:val="0"/>
          <w:i w:val="0"/>
          <w:color w:val="000000"/>
          <w:sz w:val="18"/>
        </w:rPr>
        <w:t>Table 2: RDF Graph Information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5.99999999999994" w:type="dxa"/>
      </w:tblPr>
      <w:tblGrid>
        <w:gridCol w:w="2545"/>
        <w:gridCol w:w="2545"/>
        <w:gridCol w:w="2545"/>
        <w:gridCol w:w="2545"/>
      </w:tblGrid>
      <w:tr>
        <w:trPr>
          <w:trHeight w:hRule="exact" w:val="848"/>
        </w:trPr>
        <w:tc>
          <w:tcPr>
            <w:tcW w:type="dxa" w:w="1154"/>
            <w:tcBorders>
              <w:start w:sz="3.9839999675750732" w:val="single" w:color="#000000"/>
              <w:top w:sz="3.9839999675750732" w:val="single" w:color="#000000"/>
              <w:end w:sz="3.9839999675750732" w:val="single" w:color="#000000"/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30" w:after="0"/>
              <w:ind w:left="0" w:right="0" w:firstLine="0"/>
              <w:jc w:val="center"/>
            </w:pPr>
            <w:r>
              <w:rPr>
                <w:rFonts w:ascii="CMBX9" w:hAnsi="CMBX9" w:eastAsia="CMBX9"/>
                <w:b w:val="0"/>
                <w:i w:val="0"/>
                <w:color w:val="000000"/>
                <w:sz w:val="18"/>
              </w:rPr>
              <w:t>Databases</w:t>
            </w:r>
          </w:p>
        </w:tc>
        <w:tc>
          <w:tcPr>
            <w:tcW w:type="dxa" w:w="1246"/>
            <w:tcBorders>
              <w:start w:sz="3.9839999675750732" w:val="single" w:color="#000000"/>
              <w:top w:sz="3.9839999675750732" w:val="single" w:color="#000000"/>
              <w:end w:sz="3.9839999675750732" w:val="single" w:color="#000000"/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88" w:after="0"/>
              <w:ind w:left="0" w:right="0" w:firstLine="0"/>
              <w:jc w:val="center"/>
            </w:pPr>
            <w:r>
              <w:rPr>
                <w:rFonts w:ascii="CMBX9" w:hAnsi="CMBX9" w:eastAsia="CMBX9"/>
                <w:b w:val="0"/>
                <w:i w:val="0"/>
                <w:color w:val="000000"/>
                <w:sz w:val="18"/>
              </w:rPr>
              <w:t xml:space="preserve">RDF </w:t>
            </w:r>
            <w:r>
              <w:br/>
            </w:r>
            <w:r>
              <w:rPr>
                <w:rFonts w:ascii="CMBX9" w:hAnsi="CMBX9" w:eastAsia="CMBX9"/>
                <w:b w:val="0"/>
                <w:i w:val="0"/>
                <w:color w:val="000000"/>
                <w:sz w:val="18"/>
              </w:rPr>
              <w:t xml:space="preserve">Graph Size </w:t>
            </w:r>
            <w:r>
              <w:rPr>
                <w:rFonts w:ascii="CMBX9" w:hAnsi="CMBX9" w:eastAsia="CMBX9"/>
                <w:b w:val="0"/>
                <w:i w:val="0"/>
                <w:color w:val="000000"/>
                <w:sz w:val="18"/>
              </w:rPr>
              <w:t>(GB)</w:t>
            </w:r>
          </w:p>
        </w:tc>
        <w:tc>
          <w:tcPr>
            <w:tcW w:type="dxa" w:w="1146"/>
            <w:tcBorders>
              <w:start w:sz="3.9839999675750732" w:val="single" w:color="#000000"/>
              <w:top w:sz="3.9839999675750732" w:val="single" w:color="#000000"/>
              <w:end w:sz="3.9839999675750732" w:val="single" w:color="#000000"/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94" w:after="0"/>
              <w:ind w:left="0" w:right="0" w:firstLine="0"/>
              <w:jc w:val="center"/>
            </w:pPr>
            <w:r>
              <w:rPr>
                <w:rFonts w:ascii="CMBX9" w:hAnsi="CMBX9" w:eastAsia="CMBX9"/>
                <w:b w:val="0"/>
                <w:i w:val="0"/>
                <w:color w:val="000000"/>
                <w:sz w:val="18"/>
              </w:rPr>
              <w:t xml:space="preserve">Number </w:t>
            </w:r>
            <w:r>
              <w:br/>
            </w:r>
            <w:r>
              <w:rPr>
                <w:rFonts w:ascii="CMBX9" w:hAnsi="CMBX9" w:eastAsia="CMBX9"/>
                <w:b w:val="0"/>
                <w:i w:val="0"/>
                <w:color w:val="000000"/>
                <w:sz w:val="18"/>
              </w:rPr>
              <w:t>of Triples</w:t>
            </w:r>
          </w:p>
        </w:tc>
        <w:tc>
          <w:tcPr>
            <w:tcW w:type="dxa" w:w="1334"/>
            <w:tcBorders>
              <w:start w:sz="3.9839999675750732" w:val="single" w:color="#000000"/>
              <w:top w:sz="3.9839999675750732" w:val="single" w:color="#000000"/>
              <w:end w:sz="3.9839999675750732" w:val="single" w:color="#000000"/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0" w:after="0"/>
              <w:ind w:left="0" w:right="0" w:firstLine="0"/>
              <w:jc w:val="center"/>
            </w:pPr>
            <w:r>
              <w:rPr>
                <w:rFonts w:ascii="CMBX9" w:hAnsi="CMBX9" w:eastAsia="CMBX9"/>
                <w:b w:val="0"/>
                <w:i w:val="0"/>
                <w:color w:val="000000"/>
                <w:sz w:val="18"/>
              </w:rPr>
              <w:t xml:space="preserve">RDF Graph </w:t>
            </w:r>
            <w:r>
              <w:rPr>
                <w:rFonts w:ascii="CMBX9" w:hAnsi="CMBX9" w:eastAsia="CMBX9"/>
                <w:b w:val="0"/>
                <w:i w:val="0"/>
                <w:color w:val="000000"/>
                <w:sz w:val="18"/>
              </w:rPr>
              <w:t xml:space="preserve">Generation </w:t>
            </w:r>
            <w:r>
              <w:rPr>
                <w:rFonts w:ascii="CMBX9" w:hAnsi="CMBX9" w:eastAsia="CMBX9"/>
                <w:b w:val="0"/>
                <w:i w:val="0"/>
                <w:color w:val="000000"/>
                <w:sz w:val="18"/>
              </w:rPr>
              <w:t xml:space="preserve">Time </w:t>
            </w:r>
            <w:r>
              <w:br/>
            </w:r>
            <w:r>
              <w:rPr>
                <w:rFonts w:ascii="CMBX9" w:hAnsi="CMBX9" w:eastAsia="CMBX9"/>
                <w:b w:val="0"/>
                <w:i w:val="0"/>
                <w:color w:val="000000"/>
                <w:sz w:val="18"/>
              </w:rPr>
              <w:t>(Minutes)</w:t>
            </w:r>
          </w:p>
        </w:tc>
      </w:tr>
      <w:tr>
        <w:trPr>
          <w:trHeight w:hRule="exact" w:val="636"/>
        </w:trPr>
        <w:tc>
          <w:tcPr>
            <w:tcW w:type="dxa" w:w="1154"/>
            <w:tcBorders>
              <w:start w:sz="3.9839999675750732" w:val="single" w:color="#000000"/>
              <w:top w:sz="3.9839999675750732" w:val="single" w:color="#000000"/>
              <w:end w:sz="3.9839999675750732" w:val="single" w:color="#000000"/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0" w:after="0"/>
              <w:ind w:left="104" w:right="144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Seattle </w:t>
            </w:r>
            <w:r>
              <w:br/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Synthetic </w:t>
            </w:r>
            <w:r>
              <w:br/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Population</w:t>
            </w:r>
          </w:p>
        </w:tc>
        <w:tc>
          <w:tcPr>
            <w:tcW w:type="dxa" w:w="1246"/>
            <w:tcBorders>
              <w:start w:sz="3.9839999675750732" w:val="single" w:color="#000000"/>
              <w:top w:sz="3.9839999675750732" w:val="single" w:color="#000000"/>
              <w:end w:sz="3.9839999675750732" w:val="single" w:color="#000000"/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24" w:after="0"/>
              <w:ind w:left="0" w:right="0" w:firstLine="0"/>
              <w:jc w:val="center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177</w:t>
            </w:r>
          </w:p>
        </w:tc>
        <w:tc>
          <w:tcPr>
            <w:tcW w:type="dxa" w:w="1146"/>
            <w:tcBorders>
              <w:start w:sz="3.9839999675750732" w:val="single" w:color="#000000"/>
              <w:top w:sz="3.9839999675750732" w:val="single" w:color="#000000"/>
              <w:end w:sz="3.9839999675750732" w:val="single" w:color="#000000"/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24" w:after="0"/>
              <w:ind w:left="0" w:right="0" w:firstLine="0"/>
              <w:jc w:val="center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661,848,662</w:t>
            </w:r>
          </w:p>
        </w:tc>
        <w:tc>
          <w:tcPr>
            <w:tcW w:type="dxa" w:w="1334"/>
            <w:tcBorders>
              <w:start w:sz="3.9839999675750732" w:val="single" w:color="#000000"/>
              <w:top w:sz="3.9839999675750732" w:val="single" w:color="#000000"/>
              <w:end w:sz="3.9839999675750732" w:val="single" w:color="#000000"/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24" w:after="0"/>
              <w:ind w:left="0" w:right="0" w:firstLine="0"/>
              <w:jc w:val="center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317</w:t>
            </w:r>
          </w:p>
        </w:tc>
      </w:tr>
      <w:tr>
        <w:trPr>
          <w:trHeight w:hRule="exact" w:val="220"/>
        </w:trPr>
        <w:tc>
          <w:tcPr>
            <w:tcW w:type="dxa" w:w="1154"/>
            <w:tcBorders>
              <w:start w:sz="3.9839999675750732" w:val="single" w:color="#000000"/>
              <w:top w:sz="3.9839999675750732" w:val="single" w:color="#000000"/>
              <w:end w:sz="3.9839999675750732" w:val="single" w:color="#000000"/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4" w:after="0"/>
              <w:ind w:left="104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Output</w:t>
            </w:r>
          </w:p>
        </w:tc>
        <w:tc>
          <w:tcPr>
            <w:tcW w:type="dxa" w:w="1246"/>
            <w:tcBorders>
              <w:start w:sz="3.9839999675750732" w:val="single" w:color="#000000"/>
              <w:top w:sz="3.9839999675750732" w:val="single" w:color="#000000"/>
              <w:end w:sz="3.9839999675750732" w:val="single" w:color="#000000"/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4" w:after="0"/>
              <w:ind w:left="0" w:right="0" w:firstLine="0"/>
              <w:jc w:val="center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3.10</w:t>
            </w:r>
          </w:p>
        </w:tc>
        <w:tc>
          <w:tcPr>
            <w:tcW w:type="dxa" w:w="1146"/>
            <w:tcBorders>
              <w:start w:sz="3.9839999675750732" w:val="single" w:color="#000000"/>
              <w:top w:sz="3.9839999675750732" w:val="single" w:color="#000000"/>
              <w:end w:sz="3.9839999675750732" w:val="single" w:color="#000000"/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4" w:after="0"/>
              <w:ind w:left="0" w:right="0" w:firstLine="0"/>
              <w:jc w:val="center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12,979,996</w:t>
            </w:r>
          </w:p>
        </w:tc>
        <w:tc>
          <w:tcPr>
            <w:tcW w:type="dxa" w:w="1334"/>
            <w:tcBorders>
              <w:start w:sz="3.9839999675750732" w:val="single" w:color="#000000"/>
              <w:top w:sz="3.9839999675750732" w:val="single" w:color="#000000"/>
              <w:end w:sz="3.9839999675750732" w:val="single" w:color="#000000"/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4" w:after="0"/>
              <w:ind w:left="0" w:right="0" w:firstLine="0"/>
              <w:jc w:val="center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6</w:t>
            </w:r>
          </w:p>
        </w:tc>
      </w:tr>
      <w:tr>
        <w:trPr>
          <w:trHeight w:hRule="exact" w:val="220"/>
        </w:trPr>
        <w:tc>
          <w:tcPr>
            <w:tcW w:type="dxa" w:w="1154"/>
            <w:tcBorders>
              <w:start w:sz="3.9839999675750732" w:val="single" w:color="#000000"/>
              <w:top w:sz="3.9839999675750732" w:val="single" w:color="#000000"/>
              <w:end w:sz="3.9839999675750732" w:val="single" w:color="#000000"/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2" w:after="0"/>
              <w:ind w:left="0" w:right="0" w:firstLine="0"/>
              <w:jc w:val="center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Experiment</w:t>
            </w:r>
          </w:p>
        </w:tc>
        <w:tc>
          <w:tcPr>
            <w:tcW w:type="dxa" w:w="1246"/>
            <w:tcBorders>
              <w:start w:sz="3.9839999675750732" w:val="single" w:color="#000000"/>
              <w:top w:sz="3.9839999675750732" w:val="single" w:color="#000000"/>
              <w:end w:sz="3.9839999675750732" w:val="single" w:color="#000000"/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2" w:after="0"/>
              <w:ind w:left="0" w:right="0" w:firstLine="0"/>
              <w:jc w:val="center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0.01</w:t>
            </w:r>
          </w:p>
        </w:tc>
        <w:tc>
          <w:tcPr>
            <w:tcW w:type="dxa" w:w="1146"/>
            <w:tcBorders>
              <w:start w:sz="3.9839999675750732" w:val="single" w:color="#000000"/>
              <w:top w:sz="3.9839999675750732" w:val="single" w:color="#000000"/>
              <w:end w:sz="3.9839999675750732" w:val="single" w:color="#000000"/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2" w:after="0"/>
              <w:ind w:left="0" w:right="0" w:firstLine="0"/>
              <w:jc w:val="center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66,654</w:t>
            </w:r>
          </w:p>
        </w:tc>
        <w:tc>
          <w:tcPr>
            <w:tcW w:type="dxa" w:w="1334"/>
            <w:tcBorders>
              <w:start w:sz="3.9839999675750732" w:val="single" w:color="#000000"/>
              <w:top w:sz="3.9839999675750732" w:val="single" w:color="#000000"/>
              <w:end w:sz="3.9839999675750732" w:val="single" w:color="#000000"/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2" w:after="0"/>
              <w:ind w:left="0" w:right="0" w:firstLine="0"/>
              <w:jc w:val="center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0.37</w:t>
            </w:r>
          </w:p>
        </w:tc>
      </w:tr>
    </w:tbl>
    <w:p>
      <w:pPr>
        <w:autoSpaceDN w:val="0"/>
        <w:tabs>
          <w:tab w:pos="236" w:val="left"/>
        </w:tabs>
        <w:autoSpaceDE w:val="0"/>
        <w:widowControl/>
        <w:spacing w:line="210" w:lineRule="exact" w:before="250" w:after="0"/>
        <w:ind w:left="56" w:right="144" w:firstLine="0"/>
        <w:jc w:val="left"/>
      </w:pPr>
      <w:r>
        <w:tab/>
      </w:r>
      <w:r>
        <w:rPr>
          <w:rFonts w:ascii="CMBX9" w:hAnsi="CMBX9" w:eastAsia="CMBX9"/>
          <w:b w:val="0"/>
          <w:i w:val="0"/>
          <w:color w:val="000000"/>
          <w:sz w:val="18"/>
        </w:rPr>
        <w:t>Experiment Result:</w:t>
      </w:r>
      <w:r>
        <w:rPr>
          <w:w w:val="98.62096574571397"/>
          <w:rFonts w:ascii="CMR9" w:hAnsi="CMR9" w:eastAsia="CMR9"/>
          <w:b w:val="0"/>
          <w:i w:val="0"/>
          <w:color w:val="000000"/>
          <w:sz w:val="18"/>
        </w:rPr>
        <w:t xml:space="preserve"> The D2RQ tool produces the map-</w:t>
      </w:r>
      <w:r>
        <w:rPr>
          <w:rFonts w:ascii="CMR9" w:hAnsi="CMR9" w:eastAsia="CMR9"/>
          <w:b w:val="0"/>
          <w:i w:val="0"/>
          <w:color w:val="000000"/>
          <w:sz w:val="18"/>
        </w:rPr>
        <w:t>ping files for each data source. The tool then, using the</w:t>
      </w:r>
    </w:p>
    <w:p>
      <w:pPr>
        <w:sectPr>
          <w:type w:val="continuous"/>
          <w:pgSz w:w="12240" w:h="15840"/>
          <w:pgMar w:top="570" w:right="1038" w:bottom="264" w:left="1020" w:header="720" w:footer="720" w:gutter="0"/>
          <w:cols w:space="720" w:num="2" w:equalWidth="0">
            <w:col w:w="5128" w:space="0"/>
            <w:col w:w="5054" w:space="0"/>
            <w:col w:w="10182" w:space="0"/>
            <w:col w:w="5092" w:space="0"/>
            <w:col w:w="5090" w:space="0"/>
            <w:col w:w="10182" w:space="0"/>
            <w:col w:w="5104" w:space="0"/>
            <w:col w:w="5078" w:space="0"/>
            <w:col w:w="4868" w:space="0"/>
            <w:col w:w="5596" w:space="0"/>
            <w:col w:w="10464" w:space="0"/>
          </w:cols>
          <w:docGrid w:linePitch="360"/>
        </w:sectPr>
      </w:pPr>
    </w:p>
    <w:p>
      <w:pPr>
        <w:autoSpaceDN w:val="0"/>
        <w:tabs>
          <w:tab w:pos="472" w:val="left"/>
          <w:tab w:pos="606" w:val="left"/>
        </w:tabs>
        <w:autoSpaceDE w:val="0"/>
        <w:widowControl/>
        <w:spacing w:line="200" w:lineRule="exact" w:before="38" w:after="0"/>
        <w:ind w:left="188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4"/>
        </w:rPr>
        <w:t xml:space="preserve">5.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4"/>
        </w:rPr>
        <w:t xml:space="preserve">REFERENCES </w:t>
      </w:r>
      <w:r>
        <w:br/>
      </w:r>
      <w:r>
        <w:rPr>
          <w:rFonts w:ascii="CMR9" w:hAnsi="CMR9" w:eastAsia="CMR9"/>
          <w:b w:val="0"/>
          <w:i w:val="0"/>
          <w:color w:val="000000"/>
          <w:sz w:val="18"/>
        </w:rPr>
        <w:t>[1]</w:t>
      </w:r>
      <w:r>
        <w:rPr>
          <w:w w:val="98.8220320807563"/>
          <w:rFonts w:ascii="CMR9" w:hAnsi="CMR9" w:eastAsia="CMR9"/>
          <w:b w:val="0"/>
          <w:i w:val="0"/>
          <w:color w:val="000000"/>
          <w:sz w:val="18"/>
        </w:rPr>
        <w:t xml:space="preserve"> “Interface to synthetic information systems (ISIS), 2014.”</w:t>
      </w:r>
      <w:r>
        <w:tab/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[Online]. Available: http://ndssl.vbi.vt.edu/apps/isis/ </w:t>
      </w:r>
      <w:r>
        <w:rPr>
          <w:rFonts w:ascii="CMR9" w:hAnsi="CMR9" w:eastAsia="CMR9"/>
          <w:b w:val="0"/>
          <w:i w:val="0"/>
          <w:color w:val="000000"/>
          <w:sz w:val="18"/>
        </w:rPr>
        <w:t>[2]</w:t>
      </w:r>
      <w:r>
        <w:rPr>
          <w:w w:val="98.97255367702908"/>
          <w:rFonts w:ascii="CMR9" w:hAnsi="CMR9" w:eastAsia="CMR9"/>
          <w:b w:val="0"/>
          <w:i w:val="0"/>
          <w:color w:val="000000"/>
          <w:sz w:val="18"/>
        </w:rPr>
        <w:t xml:space="preserve"> K. R. Bisset, J. Chen, X. Feng, V. A. Kumar, and M. V.</w:t>
      </w:r>
    </w:p>
    <w:p>
      <w:pPr>
        <w:autoSpaceDN w:val="0"/>
        <w:tabs>
          <w:tab w:pos="458" w:val="left"/>
          <w:tab w:pos="472" w:val="left"/>
          <w:tab w:pos="4158" w:val="left"/>
        </w:tabs>
        <w:autoSpaceDE w:val="0"/>
        <w:widowControl/>
        <w:spacing w:line="212" w:lineRule="exact" w:before="0" w:after="0"/>
        <w:ind w:left="188" w:right="0" w:firstLine="0"/>
        <w:jc w:val="left"/>
      </w:pPr>
      <w:r>
        <w:tab/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Marathe, “Epifast: A fast algorithm for large scale </w:t>
      </w:r>
      <w:r>
        <w:tab/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realistic epidemic simulations on distributed memory </w:t>
      </w:r>
      <w:r>
        <w:tab/>
      </w:r>
      <w:r>
        <w:rPr>
          <w:rFonts w:ascii="CMR9" w:hAnsi="CMR9" w:eastAsia="CMR9"/>
          <w:b w:val="0"/>
          <w:i w:val="0"/>
          <w:color w:val="000000"/>
          <w:sz w:val="18"/>
        </w:rPr>
        <w:t>systems,” in</w:t>
      </w:r>
      <w:r>
        <w:rPr>
          <w:rFonts w:ascii="CMTI9" w:hAnsi="CMTI9" w:eastAsia="CMTI9"/>
          <w:b w:val="0"/>
          <w:i w:val="0"/>
          <w:color w:val="000000"/>
          <w:sz w:val="18"/>
        </w:rPr>
        <w:t xml:space="preserve"> Proceedings of the 23rd International </w:t>
      </w:r>
      <w:r>
        <w:br/>
      </w:r>
      <w:r>
        <w:tab/>
      </w:r>
      <w:r>
        <w:rPr>
          <w:w w:val="98.87222713894315"/>
          <w:rFonts w:ascii="CMTI9" w:hAnsi="CMTI9" w:eastAsia="CMTI9"/>
          <w:b w:val="0"/>
          <w:i w:val="0"/>
          <w:color w:val="000000"/>
          <w:sz w:val="18"/>
        </w:rPr>
        <w:t>Conference on Supercomputing</w:t>
      </w:r>
      <w:r>
        <w:rPr>
          <w:w w:val="98.87222713894315"/>
          <w:rFonts w:ascii="CMR9" w:hAnsi="CMR9" w:eastAsia="CMR9"/>
          <w:b w:val="0"/>
          <w:i w:val="0"/>
          <w:color w:val="000000"/>
          <w:sz w:val="18"/>
        </w:rPr>
        <w:t xml:space="preserve">, ser. ICS ’09. </w:t>
      </w:r>
      <w:r>
        <w:tab/>
      </w:r>
      <w:r>
        <w:rPr>
          <w:w w:val="98.87222713894315"/>
          <w:rFonts w:ascii="CMR9" w:hAnsi="CMR9" w:eastAsia="CMR9"/>
          <w:b w:val="0"/>
          <w:i w:val="0"/>
          <w:color w:val="000000"/>
          <w:sz w:val="18"/>
        </w:rPr>
        <w:t xml:space="preserve">New York, </w:t>
      </w:r>
      <w:r>
        <w:tab/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NY, USA: ACM, 2009, pp. 430–439. [Online]. Available: </w:t>
      </w:r>
      <w:r>
        <w:tab/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http://doi.acm.org/10.1145/1542275.1542336 </w:t>
      </w:r>
      <w:r>
        <w:br/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[3] C. Bizer and R. Cyganiak, “D2R Server - publishing </w:t>
      </w:r>
      <w:r>
        <w:tab/>
      </w:r>
      <w:r>
        <w:rPr>
          <w:rFonts w:ascii="CMR9" w:hAnsi="CMR9" w:eastAsia="CMR9"/>
          <w:b w:val="0"/>
          <w:i w:val="0"/>
          <w:color w:val="000000"/>
          <w:sz w:val="18"/>
        </w:rPr>
        <w:t>relational databases on the semantic web,” 2006.</w:t>
      </w:r>
    </w:p>
    <w:p>
      <w:pPr>
        <w:autoSpaceDN w:val="0"/>
        <w:tabs>
          <w:tab w:pos="472" w:val="left"/>
        </w:tabs>
        <w:autoSpaceDE w:val="0"/>
        <w:widowControl/>
        <w:spacing w:line="214" w:lineRule="exact" w:before="0" w:after="30"/>
        <w:ind w:left="188" w:right="0" w:firstLine="0"/>
        <w:jc w:val="left"/>
      </w:pPr>
      <w:r>
        <w:tab/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[Online]. Available: </w:t>
      </w:r>
      <w:r>
        <w:br/>
      </w:r>
      <w:r>
        <w:tab/>
      </w:r>
      <w:r>
        <w:rPr>
          <w:rFonts w:ascii="CMR9" w:hAnsi="CMR9" w:eastAsia="CMR9"/>
          <w:b w:val="0"/>
          <w:i w:val="0"/>
          <w:color w:val="000000"/>
          <w:sz w:val="18"/>
        </w:rPr>
        <w:t>http://www4.wiwiss.fu-berlin.de/bizer/pub/Bizer-</w:t>
      </w:r>
      <w:r>
        <w:tab/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Cyganiak-D2R-Server-ISWC2006.pdf </w:t>
      </w:r>
      <w:r>
        <w:br/>
      </w:r>
      <w:r>
        <w:rPr>
          <w:rFonts w:ascii="CMR9" w:hAnsi="CMR9" w:eastAsia="CMR9"/>
          <w:b w:val="0"/>
          <w:i w:val="0"/>
          <w:color w:val="000000"/>
          <w:sz w:val="18"/>
        </w:rPr>
        <w:t>[4]</w:t>
      </w:r>
      <w:r>
        <w:rPr>
          <w:w w:val="98.87222713894315"/>
          <w:rFonts w:ascii="CMR9" w:hAnsi="CMR9" w:eastAsia="CMR9"/>
          <w:b w:val="0"/>
          <w:i w:val="0"/>
          <w:color w:val="000000"/>
          <w:sz w:val="18"/>
        </w:rPr>
        <w:t xml:space="preserve"> “Virtuoso open-source edition, 2014.” [Online]. Available: </w:t>
      </w:r>
      <w:r>
        <w:tab/>
      </w:r>
      <w:r>
        <w:rPr>
          <w:rFonts w:ascii="CMR9" w:hAnsi="CMR9" w:eastAsia="CMR9"/>
          <w:b w:val="0"/>
          <w:i w:val="0"/>
          <w:color w:val="000000"/>
          <w:sz w:val="18"/>
        </w:rPr>
        <w:t>http://www.openlinksw.com/dataspace/doc/dav/wiki/</w:t>
      </w:r>
    </w:p>
    <w:p>
      <w:pPr>
        <w:sectPr>
          <w:type w:val="nextColumn"/>
          <w:pgSz w:w="12240" w:h="15840"/>
          <w:pgMar w:top="570" w:right="1038" w:bottom="264" w:left="1020" w:header="720" w:footer="720" w:gutter="0"/>
          <w:cols w:space="720" w:num="2" w:equalWidth="0">
            <w:col w:w="5128" w:space="0"/>
            <w:col w:w="5054" w:space="0"/>
            <w:col w:w="10182" w:space="0"/>
            <w:col w:w="5092" w:space="0"/>
            <w:col w:w="5090" w:space="0"/>
            <w:col w:w="10182" w:space="0"/>
            <w:col w:w="5104" w:space="0"/>
            <w:col w:w="5078" w:space="0"/>
            <w:col w:w="4868" w:space="0"/>
            <w:col w:w="5596" w:space="0"/>
            <w:col w:w="10464" w:space="0"/>
          </w:cols>
          <w:docGrid w:linePitch="360"/>
        </w:sectPr>
      </w:pPr>
    </w:p>
    <w:p>
      <w:pPr>
        <w:autoSpaceDN w:val="0"/>
        <w:tabs>
          <w:tab w:pos="5600" w:val="left"/>
        </w:tabs>
        <w:autoSpaceDE w:val="0"/>
        <w:widowControl/>
        <w:spacing w:line="180" w:lineRule="exact" w:before="0" w:after="0"/>
        <w:ind w:left="56" w:right="0" w:firstLine="0"/>
        <w:jc w:val="left"/>
      </w:pPr>
      <w:r>
        <w:rPr>
          <w:w w:val="98.97255367702908"/>
          <w:rFonts w:ascii="CMR9" w:hAnsi="CMR9" w:eastAsia="CMR9"/>
          <w:b w:val="0"/>
          <w:i w:val="0"/>
          <w:color w:val="000000"/>
          <w:sz w:val="18"/>
        </w:rPr>
        <w:t xml:space="preserve">mapping files, queries the data sources to generate the RDF </w:t>
      </w:r>
      <w:r>
        <w:tab/>
      </w:r>
      <w:r>
        <w:rPr>
          <w:rFonts w:ascii="CMR9" w:hAnsi="CMR9" w:eastAsia="CMR9"/>
          <w:b w:val="0"/>
          <w:i w:val="0"/>
          <w:color w:val="000000"/>
          <w:sz w:val="18"/>
        </w:rPr>
        <w:t>Main/</w:t>
      </w:r>
    </w:p>
    <w:p>
      <w:pPr>
        <w:autoSpaceDN w:val="0"/>
        <w:autoSpaceDE w:val="0"/>
        <w:widowControl/>
        <w:spacing w:line="220" w:lineRule="exact" w:before="698" w:after="0"/>
        <w:ind w:left="0" w:right="0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16"/>
        </w:rPr>
        <w:t>450</w:t>
      </w:r>
    </w:p>
    <w:sectPr w:rsidR="00FC693F" w:rsidRPr="0006063C" w:rsidSect="00034616">
      <w:type w:val="continuous"/>
      <w:pgSz w:w="12240" w:h="15840"/>
      <w:pgMar w:top="570" w:right="1038" w:bottom="264" w:left="1020" w:header="720" w:footer="720" w:gutter="0"/>
      <w:cols w:space="720" w:num="1" w:equalWidth="0">
        <w:col w:w="10182" w:space="0"/>
        <w:col w:w="5128" w:space="0"/>
        <w:col w:w="5054" w:space="0"/>
        <w:col w:w="10182" w:space="0"/>
        <w:col w:w="5092" w:space="0"/>
        <w:col w:w="5090" w:space="0"/>
        <w:col w:w="10182" w:space="0"/>
        <w:col w:w="5104" w:space="0"/>
        <w:col w:w="5078" w:space="0"/>
        <w:col w:w="4868" w:space="0"/>
        <w:col w:w="5596" w:space="0"/>
        <w:col w:w="1046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