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tabs>
          <w:tab w:pos="611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 xml:space="preserve">Session: Interaction Techniques and Frameworks </w:t>
      </w:r>
      <w:r>
        <w:tab/>
      </w: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ASSETS'17, Oct. 29–Nov. 1, 2017, Baltimore, MD, USA</w:t>
      </w:r>
    </w:p>
    <w:p>
      <w:pPr>
        <w:autoSpaceDN w:val="0"/>
        <w:autoSpaceDE w:val="0"/>
        <w:widowControl/>
        <w:spacing w:line="233" w:lineRule="auto" w:before="366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36"/>
        </w:rPr>
        <w:t xml:space="preserve">Epidemiology as a Framework for Large-Scale </w:t>
      </w:r>
    </w:p>
    <w:p>
      <w:pPr>
        <w:autoSpaceDN w:val="0"/>
        <w:autoSpaceDE w:val="0"/>
        <w:widowControl/>
        <w:spacing w:line="233" w:lineRule="auto" w:before="70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36"/>
        </w:rPr>
        <w:t xml:space="preserve">Mobile Application Accessibility Assessment 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>Anne Spencer Ross</w:t>
      </w:r>
      <w:r>
        <w:rPr>
          <w:rFonts w:ascii="Arial" w:hAnsi="Arial" w:eastAsia="Arial"/>
          <w:b w:val="0"/>
          <w:i w:val="0"/>
          <w:color w:val="000000"/>
          <w:sz w:val="13"/>
        </w:rPr>
        <w:t>1</w:t>
      </w:r>
      <w:r>
        <w:rPr>
          <w:rFonts w:ascii="Arial" w:hAnsi="Arial" w:eastAsia="Arial"/>
          <w:b w:val="0"/>
          <w:i w:val="0"/>
          <w:color w:val="000000"/>
          <w:sz w:val="20"/>
        </w:rPr>
        <w:t>, Xiaoyi Zhang</w:t>
      </w:r>
      <w:r>
        <w:rPr>
          <w:rFonts w:ascii="Arial" w:hAnsi="Arial" w:eastAsia="Arial"/>
          <w:b w:val="0"/>
          <w:i w:val="0"/>
          <w:color w:val="000000"/>
          <w:sz w:val="13"/>
        </w:rPr>
        <w:t>1</w:t>
      </w:r>
      <w:r>
        <w:rPr>
          <w:rFonts w:ascii="Arial" w:hAnsi="Arial" w:eastAsia="Arial"/>
          <w:b w:val="0"/>
          <w:i w:val="0"/>
          <w:color w:val="000000"/>
          <w:sz w:val="20"/>
        </w:rPr>
        <w:t>, James Fogarty</w:t>
      </w:r>
      <w:r>
        <w:rPr>
          <w:rFonts w:ascii="Arial" w:hAnsi="Arial" w:eastAsia="Arial"/>
          <w:b w:val="0"/>
          <w:i w:val="0"/>
          <w:color w:val="000000"/>
          <w:sz w:val="13"/>
        </w:rPr>
        <w:t>1</w:t>
      </w:r>
      <w:r>
        <w:rPr>
          <w:rFonts w:ascii="Arial" w:hAnsi="Arial" w:eastAsia="Arial"/>
          <w:b w:val="0"/>
          <w:i w:val="0"/>
          <w:color w:val="000000"/>
          <w:sz w:val="20"/>
        </w:rPr>
        <w:t>, Jacob O. Wobbrock</w:t>
      </w:r>
      <w:r>
        <w:rPr>
          <w:rFonts w:ascii="Arial" w:hAnsi="Arial" w:eastAsia="Arial"/>
          <w:b w:val="0"/>
          <w:i w:val="0"/>
          <w:color w:val="000000"/>
          <w:sz w:val="13"/>
        </w:rPr>
        <w:t>2</w:t>
      </w:r>
    </w:p>
    <w:p>
      <w:pPr>
        <w:autoSpaceDN w:val="0"/>
        <w:autoSpaceDE w:val="0"/>
        <w:widowControl/>
        <w:spacing w:line="235" w:lineRule="auto" w:before="6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3"/>
        </w:rPr>
        <w:t>1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Computer Science &amp; Engineering, </w:t>
      </w:r>
      <w:r>
        <w:rPr>
          <w:rFonts w:ascii="Arial" w:hAnsi="Arial" w:eastAsia="Arial"/>
          <w:b w:val="0"/>
          <w:i w:val="0"/>
          <w:color w:val="000000"/>
          <w:sz w:val="13"/>
        </w:rPr>
        <w:t>2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Information School </w:t>
      </w:r>
    </w:p>
    <w:p>
      <w:pPr>
        <w:autoSpaceDN w:val="0"/>
        <w:autoSpaceDE w:val="0"/>
        <w:widowControl/>
        <w:spacing w:line="233" w:lineRule="auto" w:before="3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DUB Group, University of Washington Seattle, WA 98195 USA </w:t>
      </w:r>
    </w:p>
    <w:p>
      <w:pPr>
        <w:autoSpaceDN w:val="0"/>
        <w:autoSpaceDE w:val="0"/>
        <w:widowControl/>
        <w:spacing w:line="233" w:lineRule="auto" w:before="16" w:after="524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 {ansross, xiaoyiz, jfogarty}@cs.washington.edu, wobbrock@uw.edu </w:t>
      </w:r>
    </w:p>
    <w:p>
      <w:pPr>
        <w:sectPr>
          <w:pgSz w:w="12240" w:h="15840"/>
          <w:pgMar w:top="258" w:right="1012" w:bottom="248" w:left="1080" w:header="720" w:footer="720" w:gutter="0"/>
          <w:cols w:space="720" w:num="1" w:equalWidth="0"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Mobile accessibility is often a property considered at the level of 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single mobile application (app), but rarely on a larger scale of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entire app “ecosystem,” such as all apps in an app store, their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companies, developers, and user influences. We present a novel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conceptual framework for the accessibility of mobile apps inspired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by epidemiology. It considers apps within their ecosystems, over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time, and at a population level. Under this metaphor, “inaccessibility”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is a set of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diseases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that can be viewed through an epidemiological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lens. Accordingly, our framework puts forth notions like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risk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protective factors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prevalence,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health indicators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found within a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population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apps. This new framing offers terminology, motivation,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techniques to reframe how we approach and measure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accessibility. It establishes how app accessibility can benefit from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multi-factor, longitudinal, and population-based analyses. Our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epidemiology-inspired conceptual framework is the main contribution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this work, intended to provoke thought and inspire new work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enhancing app accessibility at a systemic level. In a preliminary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exercising of our framework, we perform an analysis of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prevalence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common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determinants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or accessibility barriers. We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assess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health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a stratified sample of 100 popular Android apps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using Google’s Accessibility Scanner. We find that 100% of apps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have at least one of nine accessibility errors and examine which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errors are most common. A preliminary analysis of the frequency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co-occurrences of multiple errors in a single app is also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presented. We find 72% of apps have five or six errors, suggesting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interaction among different errors or an underlying influence. </w:t>
      </w:r>
    </w:p>
    <w:p>
      <w:pPr>
        <w:sectPr>
          <w:type w:val="continuous"/>
          <w:pgSz w:w="12240" w:h="15840"/>
          <w:pgMar w:top="258" w:right="1012" w:bottom="248" w:left="1080" w:header="720" w:footer="720" w:gutter="0"/>
          <w:cols w:space="720" w:num="2" w:equalWidth="0"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48940" cy="2569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2569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86" w:after="4"/>
        <w:ind w:left="216" w:right="22" w:firstLine="0"/>
        <w:jc w:val="both"/>
      </w:pPr>
      <w:r>
        <w:rPr>
          <w:rFonts w:ascii="Arial,Bold" w:hAnsi="Arial,Bold" w:eastAsia="Arial,Bold"/>
          <w:b/>
          <w:i w:val="0"/>
          <w:color w:val="000000"/>
          <w:sz w:val="16"/>
        </w:rPr>
        <w:t>Figure 1.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As a systems science, epidemiology can serve as a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metaphor that changes the way we think and work with mobile app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accessibility. Here, the concept of a multi-factor ecosystem from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epidemiology has been applied to mobile app accessibility. An app’s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accessibility is a product of many factors ranging from individual and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intrinsic to population-level and extrinsic. These factors include: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source code and design, behaviors, demographics, physical context, </w:t>
      </w:r>
    </w:p>
    <w:p>
      <w:pPr>
        <w:sectPr>
          <w:type w:val="nextColumn"/>
          <w:pgSz w:w="12240" w:h="15840"/>
          <w:pgMar w:top="258" w:right="1012" w:bottom="248" w:left="1080" w:header="720" w:footer="720" w:gutter="0"/>
          <w:cols w:space="720" w:num="2" w:equalWidth="0">
            <w:col w:w="5062" w:space="0"/>
            <w:col w:w="5085" w:space="0"/>
            <w:col w:w="101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4"/>
        <w:gridCol w:w="5074"/>
      </w:tblGrid>
      <w:tr>
        <w:trPr>
          <w:trHeight w:hRule="exact" w:val="552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0" w:right="288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CCS Concepts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•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 Human-Centered Computing</w:t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➝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Accessibility</w:t>
            </w:r>
            <w:r>
              <w:rPr>
                <w:rFonts w:ascii="MS Gothic" w:hAnsi="MS Gothic" w:eastAsia="MS Gothic"/>
                <w:b w:val="0"/>
                <w:i w:val="0"/>
                <w:color w:val="000000"/>
                <w:sz w:val="16"/>
              </w:rPr>
              <w:t>➝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>Accessibility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38" w:right="0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social context and relationships, institutional context and policies,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and cultural norms. Accessibility is affected by factors at all levels.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Figure inspired by [34].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4"/>
        <w:ind w:left="0" w:right="0"/>
      </w:pPr>
    </w:p>
    <w:p>
      <w:pPr>
        <w:sectPr>
          <w:type w:val="continuous"/>
          <w:pgSz w:w="12240" w:h="15840"/>
          <w:pgMar w:top="258" w:right="1012" w:bottom="248" w:left="1080" w:header="720" w:footer="720" w:gutter="0"/>
          <w:cols w:space="720" w:num="1" w:equalWidth="0"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Theory, Concepts and Paradigms</w:t>
      </w:r>
    </w:p>
    <w:p>
      <w:pPr>
        <w:autoSpaceDN w:val="0"/>
        <w:autoSpaceDE w:val="0"/>
        <w:widowControl/>
        <w:spacing w:line="245" w:lineRule="auto" w:before="126" w:after="0"/>
        <w:ind w:left="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Keywords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Mobile computing; mobile accessibility; app accessibility;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 assessment; conceptual framework; epidemiology. </w:t>
      </w:r>
    </w:p>
    <w:p>
      <w:pPr>
        <w:autoSpaceDN w:val="0"/>
        <w:autoSpaceDE w:val="0"/>
        <w:widowControl/>
        <w:spacing w:line="245" w:lineRule="auto" w:before="134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1. INTRODUCTION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Mobile applications (apps) play increasingly important roles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many aspects of life, including personal finances, communication,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community engagement, and transportation. Supporting access to </w:t>
      </w:r>
    </w:p>
    <w:p>
      <w:pPr>
        <w:autoSpaceDN w:val="0"/>
        <w:autoSpaceDE w:val="0"/>
        <w:widowControl/>
        <w:spacing w:line="245" w:lineRule="auto" w:before="120" w:after="0"/>
        <w:ind w:left="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Permission to make digital or hard copies of all or part of this work for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personal or classroom use is granted without fee provided that copies are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not made or distributed for profit or commercial advantage and that copies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bear this notice and the full citation on the first page. Copyrights for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components of this work owned by others than the author(s) must be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honored. Abstracting with credit is permitted. To copy otherwise,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republish, to post on servers or to redistribute to lists, requires prior specific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permission and/or a fee. Request permissions from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FF"/>
          <w:sz w:val="16"/>
          <w:u w:val="single"/>
        </w:rPr>
        <w:hyperlink r:id="rId10" w:history="1">
          <w:r>
            <w:rPr>
              <w:rStyle w:val="Hyperlink"/>
            </w:rPr>
            <w:t>permissions@acm.org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</w:t>
      </w:r>
    </w:p>
    <w:p>
      <w:pPr>
        <w:autoSpaceDN w:val="0"/>
        <w:autoSpaceDE w:val="0"/>
        <w:widowControl/>
        <w:spacing w:line="245" w:lineRule="auto" w:before="86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ASSETS '17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October 29-November 1, 2017, Baltimore, MD, USA © 2017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Copyright is held by the owner/author(s). Publication rights licensed to ACM. </w:t>
      </w:r>
    </w:p>
    <w:p>
      <w:pPr>
        <w:autoSpaceDN w:val="0"/>
        <w:autoSpaceDE w:val="0"/>
        <w:widowControl/>
        <w:spacing w:line="245" w:lineRule="auto" w:before="6" w:after="0"/>
        <w:ind w:left="0" w:right="216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ACM 978-1-4503-4926-0/17/10...$15.00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https://doi.org/10.1145/3132525.3132547 </w:t>
      </w:r>
    </w:p>
    <w:p>
      <w:pPr>
        <w:sectPr>
          <w:type w:val="continuous"/>
          <w:pgSz w:w="12240" w:h="15840"/>
          <w:pgMar w:top="258" w:right="1012" w:bottom="248" w:left="1080" w:header="720" w:footer="720" w:gutter="0"/>
          <w:cols w:space="720" w:num="2" w:equalWidth="0"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2</w:t>
      </w:r>
    </w:p>
    <w:p>
      <w:pPr>
        <w:sectPr>
          <w:type w:val="nextColumn"/>
          <w:pgSz w:w="12240" w:h="15840"/>
          <w:pgMar w:top="258" w:right="1012" w:bottom="248" w:left="1080" w:header="720" w:footer="720" w:gutter="0"/>
          <w:cols w:space="720" w:num="2" w:equalWidth="0"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2" w:bottom="248" w:left="1080" w:header="720" w:footer="720" w:gutter="0"/>
          <w:cols w:space="720" w:num="2" w:equalWidth="0"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Session: Interaction Techniques and Frameworks</w:t>
      </w:r>
    </w:p>
    <w:p>
      <w:pPr>
        <w:autoSpaceDN w:val="0"/>
        <w:autoSpaceDE w:val="0"/>
        <w:widowControl/>
        <w:spacing w:line="245" w:lineRule="auto" w:before="362" w:after="0"/>
        <w:ind w:left="0" w:right="35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might address the inaccessibility of an individual app, but 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population perspective on app accessibility might reveal the causes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systemic problems and suggest potential solutions. An example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would be discovering that a widely-used interface toolkit was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responsible for inaccessible widgets used in many apps. 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space="720" w:num="2" w:equalWidth="0"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916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ASSETS'17, Oct. 29–Nov. 1, 2017, Baltimore, MD, USA</w:t>
      </w:r>
    </w:p>
    <w:p>
      <w:pPr>
        <w:autoSpaceDN w:val="0"/>
        <w:autoSpaceDE w:val="0"/>
        <w:widowControl/>
        <w:spacing w:line="245" w:lineRule="auto" w:before="362" w:after="42"/>
        <w:ind w:left="352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 accessibility. Our framework highlights wide-ranging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intrinsic and extrinsic factors that influence app accessibility,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motivates the collection and analysis of large-scale data,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guides opportunities for enhancing treatments for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“diseases” of inaccessibility. </w:t>
      </w:r>
    </w:p>
    <w:p>
      <w:pPr>
        <w:sectPr>
          <w:type w:val="nextColumn"/>
          <w:pgSz w:w="12240" w:h="15840"/>
          <w:pgMar w:top="256" w:right="1012" w:bottom="248" w:left="1080" w:header="720" w:footer="720" w:gutter="0"/>
          <w:cols w:space="720" w:num="2" w:equalWidth="0"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3"/>
        <w:gridCol w:w="3383"/>
        <w:gridCol w:w="3383"/>
      </w:tblGrid>
      <w:tr>
        <w:trPr>
          <w:trHeight w:hRule="exact" w:val="210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We propose an epidemiology-inspired framework for the examination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Empirical results from a framework-guided analysis of a</w:t>
            </w:r>
          </w:p>
        </w:tc>
      </w:tr>
      <w:tr>
        <w:trPr>
          <w:trHeight w:hRule="exact" w:val="8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stratified sample of 100 apps from the Google Play Store.</w:t>
            </w:r>
          </w:p>
        </w:tc>
      </w:tr>
      <w:tr>
        <w:trPr>
          <w:trHeight w:hRule="exact" w:val="140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 mobile app accessibility. We emphasize that this metaphor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Motivated to determine the extent of the disease in the</w:t>
            </w:r>
          </w:p>
        </w:tc>
      </w:tr>
      <w:tr>
        <w:trPr>
          <w:trHeight w:hRule="exact" w:val="140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supports the social model of disability [29]. App accessibility is a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population, we found high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prevalence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with 100% of apps</w:t>
            </w:r>
          </w:p>
        </w:tc>
      </w:tr>
      <w:tr>
        <w:trPr>
          <w:trHeight w:hRule="exact" w:val="140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community responsibility, as captured by our multi-factor framing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having an “inaccessibility disease” based on the nine</w:t>
            </w:r>
          </w:p>
        </w:tc>
      </w:tr>
      <w:tr>
        <w:trPr>
          <w:trHeight w:hRule="exact" w:val="140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(see Figure 1) that guides how different parts of the community can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10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 xml:space="preserve">determinants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scanned for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.</w:t>
            </w:r>
          </w:p>
        </w:tc>
      </w:tr>
      <w:tr>
        <w:trPr>
          <w:trHeight w:hRule="exact" w:val="19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contribute to app accessibility. As more companies invest resources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space="720" w:num="1" w:equalWidth="0"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into accessibility and more researchers investigate app accessibility,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it becomes increasingly beneficial to have a conceptual framework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from which to guide thought and action. Conceptual frameworks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(e.g., [7]) give a common vocabulary to ground discussion, guide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efforts to improve accessibility with known strategies,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illuminate opportunities not previously considered. We acknowledge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that the concepts in our framework are numerous, but we believe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that this is indicative of the richness of the framework and of its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potential to inspire and inform thought and action. </w:t>
      </w:r>
    </w:p>
    <w:p>
      <w:pPr>
        <w:autoSpaceDN w:val="0"/>
        <w:autoSpaceDE w:val="0"/>
        <w:widowControl/>
        <w:spacing w:line="245" w:lineRule="auto" w:before="128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Adapting a model from epidemiology [34], Figure 1 illustrates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many factors that act upon an app during its creation, distribution,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maintenance, and usage. These factors range from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intrinsic factors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that are tightly encapsulated within each individual app to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extrinsic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factors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that indirectly but influentially affect app populations.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Example factors, listed from intrinsic to extrinsic, include source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code, visual design, development and testing tools, operating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systems, assistive technologies used, app popularity, company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government policies, and public opinions. As this framing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exemplifies, apps do not exist independently of one another or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their environments. A natural extension is to recognize that neither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do their accessibility strengths or weaknesses. Understanding how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these factors interact and influence the accessibility of apps over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time can help in improving app accessibility through development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preventative measures and post-release repairs [37]. </w:t>
      </w:r>
    </w:p>
    <w:p>
      <w:pPr>
        <w:autoSpaceDN w:val="0"/>
        <w:autoSpaceDE w:val="0"/>
        <w:widowControl/>
        <w:spacing w:line="245" w:lineRule="auto" w:before="128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Developing an understanding of how a variety of factors contribute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to app accessibility requires recognizing the value of varying levels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analysis, from individual entities to populations at specific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moments and over time. Many well-established scientific disciplines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have benefitted from longitudinal population-level analyses, such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as ecology [33], oceanography [22], and computer security [9]. As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stated, we chose epidemiology [20] as our metaphor for our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 framework. We construct our epidemiology-inspired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framework and, although no metaphor is perfect or without limitations,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 advance the claim that the study of app accessibility can benefit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from epidemiology’s well-developed language and approach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collecting, analyzing, and acting upon longitudinal multi-factor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population-based data. To the best of our knowledge, ours is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first attempt to frame app accessibility as a “population science.” </w:t>
      </w:r>
    </w:p>
    <w:p>
      <w:pPr>
        <w:autoSpaceDN w:val="0"/>
        <w:autoSpaceDE w:val="0"/>
        <w:widowControl/>
        <w:spacing w:line="245" w:lineRule="auto" w:before="126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To put our conceptual framework through its paces, we apply it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analysis of accessibility barriers in popular Android apps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available on the Google Play Store. We analyze a sample of 100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apps for nine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determinants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or causes, of a variety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“inaccessibility diseases” using Google’s Accessibility Scanner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[19]. We present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prevalence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different determinants,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motivated by the objective of “Determining the Extent of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Disease” in the population (see Section 4.2). We then reflect 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how our framework and preliminary data informs future work. </w:t>
      </w:r>
    </w:p>
    <w:p>
      <w:pPr>
        <w:autoSpaceDN w:val="0"/>
        <w:autoSpaceDE w:val="0"/>
        <w:widowControl/>
        <w:spacing w:line="230" w:lineRule="auto" w:before="12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Our research contributions are twofold: </w:t>
      </w:r>
    </w:p>
    <w:p>
      <w:pPr>
        <w:autoSpaceDN w:val="0"/>
        <w:tabs>
          <w:tab w:pos="272" w:val="left"/>
        </w:tabs>
        <w:autoSpaceDE w:val="0"/>
        <w:widowControl/>
        <w:spacing w:line="245" w:lineRule="auto" w:before="4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 novel conceptual framework for monitoring, analyzing, and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acting upon longitudinal multi-factor large-scale data on mobile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space="720" w:num="2" w:equalWidth="0"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3</w:t>
      </w:r>
    </w:p>
    <w:p>
      <w:pPr>
        <w:sectPr>
          <w:type w:val="nextColumn"/>
          <w:pgSz w:w="12240" w:h="15840"/>
          <w:pgMar w:top="256" w:right="1012" w:bottom="248" w:left="1080" w:header="720" w:footer="720" w:gutter="0"/>
          <w:cols w:space="720" w:num="2" w:equalWidth="0"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2" w:bottom="248" w:left="1080" w:header="720" w:footer="720" w:gutter="0"/>
          <w:cols w:space="720" w:num="2" w:equalWidth="0"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Session: Interaction Techniques and Frameworks</w:t>
      </w:r>
    </w:p>
    <w:p>
      <w:pPr>
        <w:autoSpaceDN w:val="0"/>
        <w:autoSpaceDE w:val="0"/>
        <w:widowControl/>
        <w:spacing w:line="245" w:lineRule="auto" w:before="362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motor impairment because they are not anchored to traditional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menus, making their location in the linear navigation order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unexpected or inconvenient. Switches and linear screen reader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navigation are examples of assistive technologies that depend 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linear navigation orderings. Floating action buttons might also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cause other accessibility barriers with explore-by-touch screen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readers because the design guidelines recommend that floating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action buttons animate, move, or switch functionality with changes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app state, which might be difficult to track non-visually. </w:t>
      </w:r>
    </w:p>
    <w:p>
      <w:pPr>
        <w:autoSpaceDN w:val="0"/>
        <w:autoSpaceDE w:val="0"/>
        <w:widowControl/>
        <w:spacing w:line="245" w:lineRule="auto" w:before="90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This example illustrates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transmission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a second inaccessible button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disease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from an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infectious agent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the floating action button design,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host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app. One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determinant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the disease is the lack of intuitive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integration of the button into linear navigation order. Another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determinant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is the lack of feedback for floating action button state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transitions. This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infectious agent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lives in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repository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Google’s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Material Design. </w:t>
      </w:r>
    </w:p>
    <w:p>
      <w:pPr>
        <w:autoSpaceDN w:val="0"/>
        <w:autoSpaceDE w:val="0"/>
        <w:widowControl/>
        <w:spacing w:line="245" w:lineRule="auto" w:before="92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3. RELATED WORK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 see two major strands of related work, that of mobile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 and that of population-level or large-scale analyses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web for accessibility or of apps for other purposes. We address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both in the subsections that follow. </w:t>
      </w:r>
    </w:p>
    <w:p>
      <w:pPr>
        <w:autoSpaceDN w:val="0"/>
        <w:autoSpaceDE w:val="0"/>
        <w:widowControl/>
        <w:spacing w:line="245" w:lineRule="auto" w:before="92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3.1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Mobile App Accessibility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There is limited work assessing the accessibility of mobile apps.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Milne et al. [25] investigated nine mobile health apps on Apple iOS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for adherence to seven accessibility features and found that all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apps had at least one feature missing. Moreover, many of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barriers were not covered in Apple’s accessibility guidelines, which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focus primarily on individual elements versus interactions between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elements. This study fits into our conceptual framework by looking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at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prevalence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inaccessibility, although on a small scale. It also fits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objective of assessing existing treatments (i.e., the guidelines). </w:t>
      </w:r>
    </w:p>
    <w:p>
      <w:pPr>
        <w:autoSpaceDN w:val="0"/>
        <w:autoSpaceDE w:val="0"/>
        <w:widowControl/>
        <w:spacing w:line="245" w:lineRule="auto" w:before="86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Yu et al. [36] assessed the interface and navigation accessibility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six mobile health apps through user tests with six people with spina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bifida. They identified many enhancements that would increase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app’s accessibility. These studies begin to establish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lethality,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severity, 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prevalence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accessibility barriers.  They also fit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objective of inspiring new treatments. Our framework would also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motivate the collection of data needed to assess if the new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enhancements were effective. </w:t>
      </w:r>
    </w:p>
    <w:p>
      <w:pPr>
        <w:autoSpaceDN w:val="0"/>
        <w:autoSpaceDE w:val="0"/>
        <w:widowControl/>
        <w:spacing w:line="245" w:lineRule="auto" w:before="90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To guide developers in enhancing app accessibility, Google [1]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Apple [4] have mobile accessibility guidelines. W3C also issued 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note on how to apply existing web accessibility guidelines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mobile devices [15]. Studies analyzing the success of web guidelines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suggest that guidelines are not sufficient for ensuring accessibility,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due to a number of factors that include lack of developer knowledge,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difficult to implement recommendations, difficulties testing for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adherence, or the mismatch between actual user concerns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guideline recommendations [13,23,26]. Google’s Accessibility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Scanner [19] and Apple’s Accessibility Inspector [5] are tools for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 analysis. Both tools run on an app interface, screen by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screen, and return an analysis flagging common accessibility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barriers such as buttons that are too small, images lacking text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descriptions, and elements with problematic color contrast. These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tools can only be applied to a single app at a time and must be guided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interactively. Our framework motivates the development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advancements in analysis tools to allow for larger-scale analyses with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more detail on accessibility problems. </w:t>
      </w:r>
    </w:p>
    <w:p>
      <w:pPr>
        <w:autoSpaceDN w:val="0"/>
        <w:autoSpaceDE w:val="0"/>
        <w:widowControl/>
        <w:spacing w:line="245" w:lineRule="auto" w:before="9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3.2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Large-Scale Analyses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Large-scale app analyses have been conducted to understand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effectiveness of web accessibility guidelines, vulnerabilities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apps, app usage patterns, and popular designs. This prior work 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space="720" w:num="2" w:equalWidth="0"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4</w:t>
      </w:r>
    </w:p>
    <w:p>
      <w:pPr>
        <w:sectPr>
          <w:type w:val="nextColumn"/>
          <w:pgSz w:w="12240" w:h="15840"/>
          <w:pgMar w:top="256" w:right="1012" w:bottom="248" w:left="1080" w:header="720" w:footer="720" w:gutter="0"/>
          <w:cols w:space="720" w:num="2" w:equalWidth="0"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sectPr>
          <w:pgSz w:w="12240" w:h="15840"/>
          <w:pgMar w:top="258" w:right="1008" w:bottom="248" w:left="1030" w:header="720" w:footer="720" w:gutter="0"/>
          <w:cols w:space="720" w:num="2" w:equalWidth="0"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Session: Interaction Techniques and Frameworks</w:t>
      </w:r>
    </w:p>
    <w:p>
      <w:pPr>
        <w:autoSpaceDN w:val="0"/>
        <w:autoSpaceDE w:val="0"/>
        <w:widowControl/>
        <w:spacing w:line="245" w:lineRule="auto" w:before="362" w:after="0"/>
        <w:ind w:left="5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contrast, we create a broader framework utilizing many more concepts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from general epidemiology applied to mobile app accessibility. </w:t>
      </w:r>
    </w:p>
    <w:p>
      <w:pPr>
        <w:autoSpaceDN w:val="0"/>
        <w:autoSpaceDE w:val="0"/>
        <w:widowControl/>
        <w:spacing w:line="245" w:lineRule="auto" w:before="94" w:after="0"/>
        <w:ind w:left="50" w:right="144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4. EPIDEMIOLOGY FRAMEWORK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Epidemiology regards human health as holistic physical, emotional,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social well-being, not just the absence of illness. Epidemiology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acknowledges that an individual’s health cannot be understood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isolation and is instead the product of continuous interaction with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environmental and social factors [11]. We utilize key terminology,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concepts, and techniques from epidemiology to frame mobile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 in a similarly holistic fashion. A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healthy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app is one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whose essential functionality is accessible and usable to all, not just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app that has no rudimentary accessibility errors. Our framework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defines a single app as a potential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host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one or more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diseases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inaccessibility. A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population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consists of a large group of apps, such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as: all apps in existence, all Android apps, all apps that use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Google Map library, or all shopping apps. </w:t>
      </w:r>
    </w:p>
    <w:p>
      <w:pPr>
        <w:autoSpaceDN w:val="0"/>
        <w:autoSpaceDE w:val="0"/>
        <w:widowControl/>
        <w:spacing w:line="245" w:lineRule="auto" w:before="88" w:after="0"/>
        <w:ind w:left="50" w:right="21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Inspired by epidemiological concepts and the five objectives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epidemiology presented by Gordis [20], we offer a conceptual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framework to guide the thoughts and actions of researchers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developers concerning app accessibility. We present the terminology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for this framework in Tables 1a-d, showing the analogies drawn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between epidemiology and app accessibility, with examples. </w:t>
      </w:r>
    </w:p>
    <w:p>
      <w:pPr>
        <w:autoSpaceDN w:val="0"/>
        <w:autoSpaceDE w:val="0"/>
        <w:widowControl/>
        <w:spacing w:line="245" w:lineRule="auto" w:before="90" w:after="0"/>
        <w:ind w:left="50" w:right="144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4.1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Identify Factors and Causation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Addressing a disease requires understanding what causes it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what factors make the entity more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(risk factor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) or less (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protective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factor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) likely to contract it. The same is true for various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“inaccessibility diseases” that arise in apps. By understanding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where diseases come from, how they spread, and what factors affect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app’s risk, we can better guide the development of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treatments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. </w:t>
      </w:r>
    </w:p>
    <w:p>
      <w:pPr>
        <w:autoSpaceDN w:val="0"/>
        <w:autoSpaceDE w:val="0"/>
        <w:widowControl/>
        <w:spacing w:line="245" w:lineRule="auto" w:before="88" w:after="0"/>
        <w:ind w:left="50" w:right="21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 define a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factor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as characteristics of an app, or of the ecosystem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which an app is developed, maintained, and used, that impact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likelihood of an app having an inaccessibility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disease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. There are </w:t>
      </w:r>
    </w:p>
    <w:p>
      <w:pPr>
        <w:sectPr>
          <w:type w:val="continuous"/>
          <w:pgSz w:w="12240" w:h="15840"/>
          <w:pgMar w:top="258" w:right="1008" w:bottom="248" w:left="1030" w:header="720" w:footer="720" w:gutter="0"/>
          <w:cols w:space="720" w:num="2" w:equalWidth="0"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52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ASSETS'17, Oct. 29–Nov. 1, 2017, Baltimore, MD, USA</w:t>
      </w:r>
    </w:p>
    <w:p>
      <w:pPr>
        <w:autoSpaceDN w:val="0"/>
        <w:autoSpaceDE w:val="0"/>
        <w:widowControl/>
        <w:spacing w:line="245" w:lineRule="auto" w:before="362" w:after="0"/>
        <w:ind w:left="216" w:right="26" w:firstLine="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risk factors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that increase the likelihood of disease 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protective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factors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that reduce the likelihood. Figure 1 presents a structure for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understanding the many factors within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ecosystem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that impact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accessibility. Much of the language and structure of the framing are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inspired from the “model for analysis of population health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health disparities” presented in epidemiology [34]. </w:t>
      </w:r>
    </w:p>
    <w:p>
      <w:pPr>
        <w:autoSpaceDN w:val="0"/>
        <w:autoSpaceDE w:val="0"/>
        <w:widowControl/>
        <w:spacing w:line="245" w:lineRule="auto" w:before="90" w:after="0"/>
        <w:ind w:left="216" w:right="2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Epidemiological elements move from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intrinsic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to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extrinsic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factors.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Intrinsic factors include the core of an individual app. At the other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end of the spectrum are highly extrinsic factors, or those that impact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many apps in a manner that is removed from their source code. </w:t>
      </w:r>
    </w:p>
    <w:p>
      <w:pPr>
        <w:autoSpaceDN w:val="0"/>
        <w:autoSpaceDE w:val="0"/>
        <w:widowControl/>
        <w:spacing w:line="245" w:lineRule="auto" w:before="86" w:after="360"/>
        <w:ind w:left="216" w:right="2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Starting at the intrinsic end of the spectrum (see Figure 1), there are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metaphorical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biological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genetic factors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(i.e. an app’s source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code and design). Progressing toward extrinsic factors,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spectrum continues into factors that directly impact the biological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characteristics. These factors include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individual behavior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such as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code reuse through libraries, copying from repositories or tutorials,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frequency of updates, testing techniques, and tools used. Factors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such as tools, testing, and code provenance not only reflect what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 building strategies are used but also the trust in those strategies.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Having high trust in a tool might reduce developer sense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responsibility for investigating accessibility barriers.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Individual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demographics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are closely tied to these factors. These include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age and category (e.g., travel, shopping, entertainment). The next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section of the spectrum is more extrinsic than intrinsic. Within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physical context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there is the device upon which the app is running,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OS and OS version, and any accessibility software or hardware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being used. These elements have fewer direct interactions with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app’s biological and genetic factors. Yet physical context can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impact an app’s accessibility based on how the source code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physical context interact and support one another. For example,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different versions of a screen reader might interact differently with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 source code, resulting in different levels of accessibility within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same app, dependent on physical context. </w:t>
      </w:r>
    </w:p>
    <w:p>
      <w:pPr>
        <w:sectPr>
          <w:type w:val="nextColumn"/>
          <w:pgSz w:w="12240" w:h="15840"/>
          <w:pgMar w:top="258" w:right="1008" w:bottom="248" w:left="1030" w:header="720" w:footer="720" w:gutter="0"/>
          <w:cols w:space="720" w:num="2" w:equalWidth="0"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tabs>
          <w:tab w:pos="142" w:val="left"/>
        </w:tabs>
        <w:autoSpaceDE w:val="0"/>
        <w:widowControl/>
        <w:spacing w:line="290" w:lineRule="auto" w:before="0" w:after="50"/>
        <w:ind w:left="50" w:right="288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6"/>
        </w:rPr>
        <w:t>Table 1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: Epidemiology-inspired terminology and its mapping to mobile app accessibility with examples. (a) Terms describing a single app </w:t>
      </w: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(a) Terms Describing an App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50"/>
        <w:gridCol w:w="2550"/>
        <w:gridCol w:w="2550"/>
        <w:gridCol w:w="2550"/>
      </w:tblGrid>
      <w:tr>
        <w:trPr>
          <w:trHeight w:hRule="exact" w:val="194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Term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Epidemiology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Accessibility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Example(s)</w:t>
            </w:r>
          </w:p>
        </w:tc>
      </w:tr>
      <w:tr>
        <w:trPr>
          <w:trHeight w:hRule="exact" w:val="742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State of complete physical, social, and mental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well-being, not just the absence of disease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State of complete accessibility and usability,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not merely the absence of obvious accessibility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problems 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app has all its buttons labeled but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their labels so poorly describe their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functions that the app is almost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impossible to use </w:t>
            </w:r>
          </w:p>
        </w:tc>
      </w:tr>
      <w:tr>
        <w:trPr>
          <w:trHeight w:hRule="exact" w:val="564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Disease 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condition that interferes with a vital physiological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process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accessibility barrier 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app with a calendar that cannot be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traversed with a screen reader would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have an “inaccessible calendar disease” </w:t>
            </w:r>
          </w:p>
        </w:tc>
      </w:tr>
      <w:tr>
        <w:trPr>
          <w:trHeight w:hRule="exact" w:val="192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Host 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organism that can be infected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app that can have an accessibility barrier 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specific app (e.g., the Yelp app) </w:t>
            </w:r>
          </w:p>
        </w:tc>
      </w:tr>
      <w:tr>
        <w:trPr>
          <w:trHeight w:hRule="exact" w:val="378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instance of a particular condition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86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single instance of an app with an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inaccessibility disease 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instance of the Toggl app with an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unlabeled button </w:t>
            </w:r>
          </w:p>
        </w:tc>
      </w:tr>
      <w:tr>
        <w:trPr>
          <w:trHeight w:hRule="exact" w:val="378"/>
        </w:trPr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Infectious Agent </w:t>
            </w:r>
          </w:p>
        </w:tc>
        <w:tc>
          <w:tcPr>
            <w:tcW w:type="dxa" w:w="3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entity that carries and transmits a disease </w:t>
            </w:r>
          </w:p>
        </w:tc>
        <w:tc>
          <w:tcPr>
            <w:tcW w:type="dxa" w:w="30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component that carries or transmits disease </w:t>
            </w:r>
          </w:p>
        </w:tc>
        <w:tc>
          <w:tcPr>
            <w:tcW w:type="dxa" w:w="261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icon button widget from Android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Studio (see Section 2.1) </w:t>
            </w:r>
          </w:p>
        </w:tc>
      </w:tr>
      <w:tr>
        <w:trPr>
          <w:trHeight w:hRule="exact" w:val="376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Determinant 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factor (entity, characteristic, behavior, or event)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that directly influences disease occurrence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root cause (element, characteristic, code, or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design) of an accessibility barrier 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missing content description within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button’s source code </w:t>
            </w:r>
          </w:p>
        </w:tc>
      </w:tr>
      <w:tr>
        <w:trPr>
          <w:trHeight w:hRule="exact" w:val="746"/>
        </w:trPr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Factor </w:t>
            </w:r>
          </w:p>
        </w:tc>
        <w:tc>
          <w:tcPr>
            <w:tcW w:type="dxa" w:w="3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aspect of behavior, lifestyle, environment, or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inherited characteristic that is associated with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increased occurrence of a disease </w:t>
            </w:r>
          </w:p>
        </w:tc>
        <w:tc>
          <w:tcPr>
            <w:tcW w:type="dxa" w:w="30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characteristic of an app or of the ecosystem in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which an app is developed, maintained, and used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that impact the likelihood of an app having an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inaccessibility disease. Can be </w:t>
            </w:r>
            <w:r>
              <w:rPr>
                <w:rFonts w:ascii="Arial Narrow" w:hAnsi="Arial Narrow" w:eastAsia="Arial Narrow"/>
                <w:b w:val="0"/>
                <w:i/>
                <w:color w:val="000000"/>
                <w:sz w:val="16"/>
              </w:rPr>
              <w:t xml:space="preserve">risk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or </w:t>
            </w:r>
            <w:r>
              <w:rPr>
                <w:rFonts w:ascii="Arial Narrow" w:hAnsi="Arial Narrow" w:eastAsia="Arial Narrow"/>
                <w:b w:val="0"/>
                <w:i/>
                <w:color w:val="000000"/>
                <w:sz w:val="16"/>
              </w:rPr>
              <w:t xml:space="preserve">protective </w:t>
            </w:r>
          </w:p>
        </w:tc>
        <w:tc>
          <w:tcPr>
            <w:tcW w:type="dxa" w:w="261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(See Factors and Causation Section 4.1) </w:t>
            </w:r>
          </w:p>
        </w:tc>
      </w:tr>
      <w:tr>
        <w:trPr>
          <w:trHeight w:hRule="exact" w:val="378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Usual Source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of Care 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432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place a patient usually goes when sick or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needing advice about health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72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way an app is normally tested for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accessibility 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152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Automated tests;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Blindfolded developer </w:t>
            </w:r>
          </w:p>
        </w:tc>
      </w:tr>
      <w:tr>
        <w:trPr>
          <w:trHeight w:hRule="exact" w:val="376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Diagnosis 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process of determining by examination the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nature and circumstances of a disease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process of determining the existence and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cause of an accessibility barrier 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72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By hand exploration;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Google Accessibility Scanner </w:t>
            </w:r>
          </w:p>
        </w:tc>
      </w:tr>
      <w:tr>
        <w:trPr>
          <w:trHeight w:hRule="exact" w:val="562"/>
        </w:trPr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Life Expectancy </w:t>
            </w:r>
          </w:p>
        </w:tc>
        <w:tc>
          <w:tcPr>
            <w:tcW w:type="dxa" w:w="3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Average number of years of life remaining based on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individual, population, and environment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characteristics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How long before an app is abandoned based on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its risk and protective factors, environment, and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characteristics. Can be of development or use </w:t>
            </w:r>
          </w:p>
        </w:tc>
        <w:tc>
          <w:tcPr>
            <w:tcW w:type="dxa" w:w="26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812" w:firstLine="0"/>
              <w:jc w:val="both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How long app is maintained;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Time between download and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abandonment </w:t>
            </w:r>
          </w:p>
        </w:tc>
      </w:tr>
    </w:tbl>
    <w:p>
      <w:pPr>
        <w:autoSpaceDN w:val="0"/>
        <w:autoSpaceDE w:val="0"/>
        <w:widowControl/>
        <w:spacing w:line="240" w:lineRule="auto" w:before="1320" w:after="0"/>
        <w:ind w:left="0" w:right="0" w:firstLine="0"/>
        <w:jc w:val="center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5</w:t>
      </w:r>
    </w:p>
    <w:p>
      <w:pPr>
        <w:sectPr>
          <w:type w:val="continuous"/>
          <w:pgSz w:w="12240" w:h="15840"/>
          <w:pgMar w:top="258" w:right="1008" w:bottom="248" w:left="1030" w:header="720" w:footer="720" w:gutter="0"/>
          <w:cols w:space="720" w:num="1" w:equalWidth="0"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tabs>
          <w:tab w:pos="611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 xml:space="preserve">Session: Interaction Techniques and Frameworks </w:t>
      </w:r>
      <w:r>
        <w:tab/>
      </w: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ASSETS'17, Oct. 29–Nov. 1, 2017, Baltimore, MD, USA</w:t>
      </w:r>
    </w:p>
    <w:p>
      <w:pPr>
        <w:autoSpaceDN w:val="0"/>
        <w:autoSpaceDE w:val="0"/>
        <w:widowControl/>
        <w:spacing w:line="233" w:lineRule="auto" w:before="646" w:after="0"/>
        <w:ind w:left="92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6"/>
        </w:rPr>
        <w:t>Table 1 cont.</w:t>
      </w:r>
      <w:r>
        <w:rPr>
          <w:rFonts w:ascii="Arial,Bold" w:hAnsi="Arial,Bold" w:eastAsia="Arial,Bold"/>
          <w:b/>
          <w:i w:val="0"/>
          <w:color w:val="000000"/>
          <w:sz w:val="16"/>
        </w:rPr>
        <w:t>(b)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Terms describing a disease. </w:t>
      </w:r>
      <w:r>
        <w:rPr>
          <w:rFonts w:ascii="Arial,Bold" w:hAnsi="Arial,Bold" w:eastAsia="Arial,Bold"/>
          <w:b/>
          <w:i w:val="0"/>
          <w:color w:val="000000"/>
          <w:sz w:val="16"/>
        </w:rPr>
        <w:t>(c)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Population-level terms. </w:t>
      </w:r>
      <w:r>
        <w:rPr>
          <w:rFonts w:ascii="Arial,Bold" w:hAnsi="Arial,Bold" w:eastAsia="Arial,Bold"/>
          <w:b/>
          <w:i w:val="0"/>
          <w:color w:val="000000"/>
          <w:sz w:val="16"/>
        </w:rPr>
        <w:t>(d)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Terms for taking action on epidemiology-inspired data. </w:t>
      </w:r>
    </w:p>
    <w:p>
      <w:pPr>
        <w:autoSpaceDN w:val="0"/>
        <w:autoSpaceDE w:val="0"/>
        <w:widowControl/>
        <w:spacing w:line="230" w:lineRule="auto" w:before="90" w:after="40"/>
        <w:ind w:left="8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(b) Terms Describing a Disease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2525"/>
        <w:gridCol w:w="2525"/>
        <w:gridCol w:w="2525"/>
        <w:gridCol w:w="2525"/>
      </w:tblGrid>
      <w:tr>
        <w:trPr>
          <w:trHeight w:hRule="exact" w:val="196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Term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Epidemiology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Accessibility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Example(s)</w:t>
            </w:r>
          </w:p>
        </w:tc>
      </w:tr>
      <w:tr>
        <w:trPr>
          <w:trHeight w:hRule="exact" w:val="374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Reservoir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habitat in which an infectious agent normally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lives, grows, and multiplies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harbor for accessibility barriers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Toolkits;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Design guides </w:t>
            </w:r>
          </w:p>
        </w:tc>
      </w:tr>
      <w:tr>
        <w:trPr>
          <w:trHeight w:hRule="exact" w:val="378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Contagiousness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How capable a disease is of being transmitted by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contact or close proximity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ease at which an accessibility barrier can be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transmitted given its host and environment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Highly contagious: An accessibility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barrier within core library source code </w:t>
            </w:r>
          </w:p>
        </w:tc>
      </w:tr>
      <w:tr>
        <w:trPr>
          <w:trHeight w:hRule="exact" w:val="746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Natural History of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Disease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temporal course of disease from onset to fatal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termination, remission, relapse, or recovery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process of an accessibility barrier being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introduced, encountered, fixed or ignored, and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perpetuated or permanently remedied. May be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of use or development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See Section 4.3 </w:t>
            </w:r>
          </w:p>
        </w:tc>
      </w:tr>
      <w:tr>
        <w:trPr>
          <w:trHeight w:hRule="exact" w:val="560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Incidence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Measure of the frequency of a new case of the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disease occurring in a population over time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measure of the frequency of new occurrences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of an accessibility barrier in a population over time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06" w:firstLine="0"/>
              <w:jc w:val="both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Number of new cases of inaccessible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buttons in the Top 100 apps released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 a month </w:t>
            </w:r>
          </w:p>
        </w:tc>
      </w:tr>
      <w:tr>
        <w:trPr>
          <w:trHeight w:hRule="exact" w:val="378"/>
        </w:trPr>
        <w:tc>
          <w:tcPr>
            <w:tcW w:type="dxa" w:w="1262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Prevalence </w:t>
            </w:r>
          </w:p>
        </w:tc>
        <w:tc>
          <w:tcPr>
            <w:tcW w:type="dxa" w:w="31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number or proportion of cases of a disease in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given population </w:t>
            </w:r>
          </w:p>
        </w:tc>
        <w:tc>
          <w:tcPr>
            <w:tcW w:type="dxa" w:w="30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number or proportion of apps with a particular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disease in a given population </w:t>
            </w:r>
          </w:p>
        </w:tc>
        <w:tc>
          <w:tcPr>
            <w:tcW w:type="dxa" w:w="242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Number of apps in Top 100 with an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inaccessible button </w:t>
            </w:r>
          </w:p>
        </w:tc>
      </w:tr>
      <w:tr>
        <w:trPr>
          <w:trHeight w:hRule="exact" w:val="374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Lethality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How likely is a disease to cause death or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complications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How likely is an app to be abandoned due to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accessibility barriers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Highly lethal: An log-in button that can’t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be activated with a screen reader </w:t>
            </w:r>
          </w:p>
        </w:tc>
      </w:tr>
      <w:tr>
        <w:trPr>
          <w:trHeight w:hRule="exact" w:val="378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Transmission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Any mode or mechanism by which an agent is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spread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How an accessibility barrier enters an app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Copy-paste repository code;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Using a drag-and-drop tool </w:t>
            </w:r>
          </w:p>
        </w:tc>
      </w:tr>
    </w:tbl>
    <w:p>
      <w:pPr>
        <w:autoSpaceDN w:val="0"/>
        <w:autoSpaceDE w:val="0"/>
        <w:widowControl/>
        <w:spacing w:line="230" w:lineRule="auto" w:before="4" w:after="46"/>
        <w:ind w:left="8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(c) Population-Level Terms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2525"/>
        <w:gridCol w:w="2525"/>
        <w:gridCol w:w="2525"/>
        <w:gridCol w:w="2525"/>
      </w:tblGrid>
      <w:tr>
        <w:trPr>
          <w:trHeight w:hRule="exact" w:val="192"/>
        </w:trPr>
        <w:tc>
          <w:tcPr>
            <w:tcW w:type="dxa" w:w="126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Term</w:t>
            </w:r>
          </w:p>
        </w:tc>
        <w:tc>
          <w:tcPr>
            <w:tcW w:type="dxa" w:w="31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Epidemiology</w:t>
            </w:r>
          </w:p>
        </w:tc>
        <w:tc>
          <w:tcPr>
            <w:tcW w:type="dxa" w:w="30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Accessibility</w:t>
            </w:r>
          </w:p>
        </w:tc>
        <w:tc>
          <w:tcPr>
            <w:tcW w:type="dxa" w:w="24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Example(s)</w:t>
            </w:r>
          </w:p>
        </w:tc>
      </w:tr>
      <w:tr>
        <w:trPr>
          <w:trHeight w:hRule="exact" w:val="496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Population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total number of persons in a particular group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(e.g., all people with a certain occupation)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apps or a group of apps under consideration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576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Google Play Store Top 100;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All transportation apps </w:t>
            </w:r>
          </w:p>
        </w:tc>
      </w:tr>
      <w:tr>
        <w:trPr>
          <w:trHeight w:hRule="exact" w:val="448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Census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enumeration of an entire population with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details including residence, occupation, age, etc.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enumeration of all apps including versions,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release dates, APK, platform, health status, etc.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Androzoo [3] collection of apps,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>versions, and security vulnerabilities</w:t>
            </w:r>
          </w:p>
        </w:tc>
      </w:tr>
      <w:tr>
        <w:trPr>
          <w:trHeight w:hRule="exact" w:val="440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High-Risk Group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group in the population with an elevated risk of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disease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group of apps at elevated risk of having a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particular accessibility barrier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Android apps are more at risk for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inaccessibility than iOS apps </w:t>
            </w:r>
          </w:p>
        </w:tc>
      </w:tr>
      <w:tr>
        <w:trPr>
          <w:trHeight w:hRule="exact" w:val="602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Outbreak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occurrence of more cases of a disease than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expected in a given area or group over a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particular period of time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432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Occurrence of more cases of accessibility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barriers or a particular determinant than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expected in a period of time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Significant increase in number of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unlabeled buttons in a week </w:t>
            </w:r>
          </w:p>
        </w:tc>
      </w:tr>
      <w:tr>
        <w:trPr>
          <w:trHeight w:hRule="exact" w:val="450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Mortality Rate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measure of frequency of death in a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population during a specified time interval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measure of how often apps are abandoned,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for any reason, during a specified time interval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70% of apps are abandoned within a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week of downloading </w:t>
            </w:r>
          </w:p>
        </w:tc>
      </w:tr>
      <w:tr>
        <w:trPr>
          <w:trHeight w:hRule="exact" w:val="1260"/>
        </w:trPr>
        <w:tc>
          <w:tcPr>
            <w:tcW w:type="dxa" w:w="1262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Herd Immunity </w:t>
            </w:r>
          </w:p>
        </w:tc>
        <w:tc>
          <w:tcPr>
            <w:tcW w:type="dxa" w:w="31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resistance to an infection of an entire group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because of a substantial proportion being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immune. Herd immunity is based on having a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substantial number of immune persons, thereby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reducing the likelihood that an infected person will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encounter a susceptible one. </w:t>
            </w:r>
          </w:p>
        </w:tc>
        <w:tc>
          <w:tcPr>
            <w:tcW w:type="dxa" w:w="30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app’s resistance to an accessibility barrier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because its ecosystem is dominated by factors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that are accessible </w:t>
            </w:r>
          </w:p>
        </w:tc>
        <w:tc>
          <w:tcPr>
            <w:tcW w:type="dxa" w:w="24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Minimizing the number of widgets in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Android Studio that introduce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accessibility barriers </w:t>
            </w:r>
          </w:p>
        </w:tc>
      </w:tr>
      <w:tr>
        <w:trPr>
          <w:trHeight w:hRule="exact" w:val="510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Health Indicator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measure that reflects, or indicates, the state of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health of people in a population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measure that reflects, or indicates, the state of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accessibility within a population of apps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 number of apps with unlabeled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buttons </w:t>
            </w:r>
          </w:p>
        </w:tc>
      </w:tr>
      <w:tr>
        <w:trPr>
          <w:trHeight w:hRule="exact" w:val="854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Detection Bias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Can occur when people with a risk factor are more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likely to have a disease detected because of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intense follow-up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76" w:firstLine="0"/>
              <w:jc w:val="both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Can occur when certain apps are more likely to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have accessibility barriers detected because of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closer scrutiny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Apps built by developers who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themselves have a disability might be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more likely to have early diagnosis of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accessibility barriers than other apps </w:t>
            </w:r>
          </w:p>
        </w:tc>
      </w:tr>
      <w:tr>
        <w:trPr>
          <w:trHeight w:hRule="exact" w:val="432"/>
        </w:trPr>
        <w:tc>
          <w:tcPr>
            <w:tcW w:type="dxa" w:w="126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Common Source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Outbreak </w:t>
            </w:r>
          </w:p>
        </w:tc>
        <w:tc>
          <w:tcPr>
            <w:tcW w:type="dxa" w:w="315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outbreak that results from a group of persons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being exposed to a common disease agent </w:t>
            </w:r>
          </w:p>
        </w:tc>
        <w:tc>
          <w:tcPr>
            <w:tcW w:type="dxa" w:w="306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When there is a common source for an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increased incidence of an inaccessibility disease </w:t>
            </w:r>
          </w:p>
        </w:tc>
        <w:tc>
          <w:tcPr>
            <w:tcW w:type="dxa" w:w="242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72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OS update that causes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widespread inaccessibility </w:t>
            </w:r>
          </w:p>
        </w:tc>
      </w:tr>
    </w:tbl>
    <w:p>
      <w:pPr>
        <w:autoSpaceDN w:val="0"/>
        <w:autoSpaceDE w:val="0"/>
        <w:widowControl/>
        <w:spacing w:line="230" w:lineRule="auto" w:before="4" w:after="44"/>
        <w:ind w:left="8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6"/>
        </w:rPr>
        <w:t>(d) Terms about Taking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2525"/>
        <w:gridCol w:w="2525"/>
        <w:gridCol w:w="2525"/>
        <w:gridCol w:w="2525"/>
      </w:tblGrid>
      <w:tr>
        <w:trPr>
          <w:trHeight w:hRule="exact" w:val="190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Term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Epidemiology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Accessibility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>Example(s)</w:t>
            </w:r>
          </w:p>
        </w:tc>
      </w:tr>
      <w:tr>
        <w:trPr>
          <w:trHeight w:hRule="exact" w:val="748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Public Health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Systematic collection, analysis, interpretation, and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dissemination of ongoing health data to gain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knowledge of disease patterns, and to control and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prevent disease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Systematic collection, analysis, interpretation,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and dissemination of ongoing app accessibility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data to gain knowledge of accessibility patterns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and to control and prevent barriers to access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Community reporting by and for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people with disabilities about the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accessibility of certain apps </w:t>
            </w:r>
          </w:p>
        </w:tc>
      </w:tr>
      <w:tr>
        <w:trPr>
          <w:trHeight w:hRule="exact" w:val="560"/>
        </w:trPr>
        <w:tc>
          <w:tcPr>
            <w:tcW w:type="dxa" w:w="126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Treatment </w:t>
            </w:r>
          </w:p>
        </w:tc>
        <w:tc>
          <w:tcPr>
            <w:tcW w:type="dxa" w:w="31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Techniques to combat a disease. Includes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prevention and therapy. </w:t>
            </w:r>
          </w:p>
        </w:tc>
        <w:tc>
          <w:tcPr>
            <w:tcW w:type="dxa" w:w="30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intervention designed to reduce or eliminate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an accessibility barrier or its impact. Includes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prevention and therapy. </w:t>
            </w:r>
          </w:p>
        </w:tc>
        <w:tc>
          <w:tcPr>
            <w:tcW w:type="dxa" w:w="24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App developer tools that aid in the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detection and remedy of accessibility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barriers </w:t>
            </w:r>
          </w:p>
        </w:tc>
      </w:tr>
      <w:tr>
        <w:trPr>
          <w:trHeight w:hRule="exact" w:val="376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Prevention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288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Treatment measures to prevent disease (e.g.,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immunization, limiting exposure to risk factors)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Treatment measures that prevent an app from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having an accessibility barrier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1152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Screening toolkits;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Thorough testing </w:t>
            </w:r>
          </w:p>
        </w:tc>
      </w:tr>
      <w:tr>
        <w:trPr>
          <w:trHeight w:hRule="exact" w:val="378"/>
        </w:trPr>
        <w:tc>
          <w:tcPr>
            <w:tcW w:type="dxa" w:w="126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Therapy </w:t>
            </w:r>
          </w:p>
        </w:tc>
        <w:tc>
          <w:tcPr>
            <w:tcW w:type="dxa" w:w="31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Measure to treat a contracted disease, reduce its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impact on health, or reduce its spread </w:t>
            </w:r>
          </w:p>
        </w:tc>
        <w:tc>
          <w:tcPr>
            <w:tcW w:type="dxa" w:w="30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86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 treatment that repairs an existing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inaccessibility disease </w:t>
            </w:r>
          </w:p>
        </w:tc>
        <w:tc>
          <w:tcPr>
            <w:tcW w:type="dxa" w:w="242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Adding custom labels to buttons </w:t>
            </w:r>
          </w:p>
        </w:tc>
      </w:tr>
      <w:tr>
        <w:trPr>
          <w:trHeight w:hRule="exact" w:val="560"/>
        </w:trPr>
        <w:tc>
          <w:tcPr>
            <w:tcW w:type="dxa" w:w="126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288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Universal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Precautions </w:t>
            </w:r>
          </w:p>
        </w:tc>
        <w:tc>
          <w:tcPr>
            <w:tcW w:type="dxa" w:w="31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Recommendations issued to minimize the risk of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transmission of pathogens by health care and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public safety workers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Population-based prevention with best practices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that all apps should follow to reduce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inaccessibility </w:t>
            </w:r>
          </w:p>
        </w:tc>
        <w:tc>
          <w:tcPr>
            <w:tcW w:type="dxa" w:w="2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Accessibility guidelines; </w:t>
            </w:r>
            <w:r>
              <w:br/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Integration of accessibility testing into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general quality assurance </w:t>
            </w:r>
          </w:p>
        </w:tc>
      </w:tr>
    </w:tbl>
    <w:p>
      <w:pPr>
        <w:autoSpaceDN w:val="0"/>
        <w:autoSpaceDE w:val="0"/>
        <w:widowControl/>
        <w:spacing w:line="240" w:lineRule="auto" w:before="922" w:after="0"/>
        <w:ind w:left="0" w:right="0" w:firstLine="0"/>
        <w:jc w:val="center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6</w:t>
      </w:r>
    </w:p>
    <w:p>
      <w:pPr>
        <w:sectPr>
          <w:pgSz w:w="12240" w:h="15840"/>
          <w:pgMar w:top="258" w:right="1060" w:bottom="248" w:left="1080" w:header="720" w:footer="720" w:gutter="0"/>
          <w:cols w:space="720" w:num="1" w:equalWidth="0"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2" w:bottom="248" w:left="1080" w:header="720" w:footer="720" w:gutter="0"/>
          <w:cols w:space="720" w:num="1" w:equalWidth="0"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Session: Interaction Techniques and Frameworks</w:t>
      </w:r>
    </w:p>
    <w:p>
      <w:pPr>
        <w:autoSpaceDN w:val="0"/>
        <w:autoSpaceDE w:val="0"/>
        <w:widowControl/>
        <w:spacing w:line="245" w:lineRule="auto" w:before="570" w:after="0"/>
        <w:ind w:left="0" w:right="74" w:firstLine="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Social context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encompasses the popularity of an app and how that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popularity can impact the accessibility standards to which the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is held.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Social relationships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cover how vocal people in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community are about accessibility, how active people are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demanding that an app be accessible, and how responsive an app is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to adapting to critical feedback. </w:t>
      </w:r>
    </w:p>
    <w:p>
      <w:pPr>
        <w:autoSpaceDN w:val="0"/>
        <w:autoSpaceDE w:val="0"/>
        <w:widowControl/>
        <w:spacing w:line="245" w:lineRule="auto" w:before="88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final, most extrinsic factors include those on the institutional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societal level. Within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institutional context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there are education,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company, and government influences.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Education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influences include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education of developers for creating accessible apps, of users 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existing accessibility support, of the community on the importance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advocating for accessibility, and of institutional leaders on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importance of prioritizing and integrating accessibility considerations. </w:t>
      </w:r>
    </w:p>
    <w:p>
      <w:pPr>
        <w:autoSpaceDN w:val="0"/>
        <w:autoSpaceDE w:val="0"/>
        <w:widowControl/>
        <w:spacing w:line="245" w:lineRule="auto" w:before="88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Company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factors consider how companies can impact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 of their apps by dedicating resources to accessibility,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choosing tools to help enhance accessibility, and creating policies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that enforce accessibility within their organizations.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Government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factors are similar, but on a larger scale. The government’s role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funding allocation, public initiatives, policies, lawmaking,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enforcement, and advocacy all play into the accessibility of apps.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At the extrinsic end of the spectrum is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social condition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. This covers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cultural norms and public expectations of a whole society. For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example, whether accessibility is viewed as a bonus or an essential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requirement and how much society supports the allocation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resources for achieving better accessibility. </w:t>
      </w:r>
    </w:p>
    <w:p>
      <w:pPr>
        <w:autoSpaceDN w:val="0"/>
        <w:autoSpaceDE w:val="0"/>
        <w:widowControl/>
        <w:spacing w:line="245" w:lineRule="auto" w:before="86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All factors throughout the spectrum interact with one another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shape the ecosystem in which an app is created, maintained, and used.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Changes in any one can impact others up and down the spectrum,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potentially affecting accessibility. Structuring our understanding of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how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these factors affect an app’s risk for acquiring an “inaccessibility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disease” can guide accessibility enhancing treatments.</w:t>
      </w:r>
    </w:p>
    <w:p>
      <w:pPr>
        <w:autoSpaceDN w:val="0"/>
        <w:autoSpaceDE w:val="0"/>
        <w:widowControl/>
        <w:spacing w:line="245" w:lineRule="auto" w:before="92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4.2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Determine the Extent of a Disease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a world of limited resources, it is essential to direct those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resources toward the most impactful problems. Epidemiologists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determine the extent of a disease in a community, through measures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such as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incidence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prevalence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to plan health services, facilities,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health-provider training. App accessibility could benefit from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similar metrics. These metrics include disease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prevalence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or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extent to which “inaccessibility diseases” occur in an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population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.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For a given disease, metrics also include identifying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prevalence of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determinants,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or causes of diseases. Properties of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determinant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can also be measured, such as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lethality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a measure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severity defined as the likelihood an app will be abandoned due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accessibility barrier. Finally, metrics such as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incidence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that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measure how many new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cases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are emerging over time can help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identify whether a new risk factor has emerged that impacts many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apps. An example would be an accessibility barrier created by 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widespread OS update. The objective of determining the extent of 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disease gives a data-driven focus to addressing app inaccessibility. </w:t>
      </w:r>
    </w:p>
    <w:p>
      <w:pPr>
        <w:autoSpaceDN w:val="0"/>
        <w:autoSpaceDE w:val="0"/>
        <w:widowControl/>
        <w:spacing w:line="245" w:lineRule="auto" w:before="94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4.3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Study Natural Histories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Our next inspiration from epidemiology is the study of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progression of a disease in a host. Epidemiologists map disease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progression from exposure to a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risk factor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or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infectious agent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early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disease onset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to the appearance of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symptoms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to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diagnosis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finally to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outcome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. This progression model, known as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natural history of the disease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informs what risk factors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symptoms to be alert for, what impact the disease will have if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untreated, and where in the timeline there exist opportunities for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preventative or therapeutic treatments [20]. Rather than modeling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natural history of an “inaccessibility disease,” we use similar 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space="720" w:num="2" w:equalWidth="0"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7</w:t>
      </w:r>
    </w:p>
    <w:p>
      <w:pPr>
        <w:sectPr>
          <w:type w:val="nextColumn"/>
          <w:pgSz w:w="12240" w:h="15840"/>
          <w:pgMar w:top="256" w:right="1012" w:bottom="248" w:left="1080" w:header="720" w:footer="720" w:gutter="0"/>
          <w:cols w:space="720" w:num="2" w:equalWidth="0"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4" w:bottom="248" w:left="1018" w:header="720" w:footer="720" w:gutter="0"/>
          <w:cols w:space="720" w:num="2" w:equalWidth="0"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Session: Interaction Techniques and Frameworks</w:t>
      </w:r>
    </w:p>
    <w:p>
      <w:pPr>
        <w:autoSpaceDN w:val="0"/>
        <w:autoSpaceDE w:val="0"/>
        <w:widowControl/>
        <w:spacing w:line="245" w:lineRule="auto" w:before="362" w:after="0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preventative treatments would allow a user to understand the health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the app and potentially avoid trying apps that are “diseased.” </w:t>
      </w:r>
    </w:p>
    <w:p>
      <w:pPr>
        <w:autoSpaceDN w:val="0"/>
        <w:autoSpaceDE w:val="0"/>
        <w:widowControl/>
        <w:spacing w:line="240" w:lineRule="auto" w:before="13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187699" cy="1333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699" cy="133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2" w:after="0"/>
        <w:ind w:left="62" w:right="130" w:firstLine="0"/>
        <w:jc w:val="both"/>
      </w:pPr>
      <w:r>
        <w:rPr>
          <w:rFonts w:ascii="Arial,Bold" w:hAnsi="Arial,Bold" w:eastAsia="Arial,Bold"/>
          <w:b/>
          <w:i w:val="0"/>
          <w:color w:val="000000"/>
          <w:sz w:val="16"/>
        </w:rPr>
        <w:t xml:space="preserve">Figure 3.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The natural history of app usage model represents the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process by which an end user finds, downloads, uses, and abandons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an app. The usage stage includes first usage, or </w:t>
      </w:r>
      <w:r>
        <w:rPr>
          <w:rFonts w:ascii="Arial,Italic" w:hAnsi="Arial,Italic" w:eastAsia="Arial,Italic"/>
          <w:b w:val="0"/>
          <w:i/>
          <w:color w:val="000000"/>
          <w:sz w:val="16"/>
        </w:rPr>
        <w:t>birth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of usage.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Within usage, someone might cycle through the stages of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encountering a barrier and trying to work around it. The progression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could ultimately end when a user abandons an app and usage </w:t>
      </w:r>
      <w:r>
        <w:rPr>
          <w:rFonts w:ascii="Arial,Italic" w:hAnsi="Arial,Italic" w:eastAsia="Arial,Italic"/>
          <w:b w:val="0"/>
          <w:i/>
          <w:color w:val="000000"/>
          <w:sz w:val="16"/>
        </w:rPr>
        <w:t>dies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5" w:lineRule="auto" w:before="124" w:after="0"/>
        <w:ind w:left="62" w:right="1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app’s usage-birth happens when it is first opened on the device.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During usage, barriers caused by “diseases” might be encountered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work-arounds might be attempted. Usage-death occurs when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person discontinues use entirely. Therapeutic methods could be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introduced within usage or abandonment. An example of an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existing treatment is found in Apple’s and Google’s screen readers,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end-user can create custom button labels for fixing poorly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labeled elements. A post-death treatment could prompt a user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submit feedback on why an app’s usage has ceased. </w:t>
      </w:r>
    </w:p>
    <w:p>
      <w:pPr>
        <w:autoSpaceDN w:val="0"/>
        <w:autoSpaceDE w:val="0"/>
        <w:widowControl/>
        <w:spacing w:line="245" w:lineRule="auto" w:before="92" w:after="0"/>
        <w:ind w:left="6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4.4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Evaluating Existing and New Treatments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Epidemiology is motivated to collect information to guide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development of intervention methods and modes of health care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delivery. A key component to achieving that is being able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evaluate the effectiveness of interventions in order to focus efforts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on the most promising strategies. </w:t>
      </w:r>
    </w:p>
    <w:p>
      <w:pPr>
        <w:autoSpaceDN w:val="0"/>
        <w:autoSpaceDE w:val="0"/>
        <w:widowControl/>
        <w:spacing w:line="245" w:lineRule="auto" w:before="88" w:after="0"/>
        <w:ind w:left="62" w:right="1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 accessibility efforts would benefit from expanding evaluation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techniques, such as those motivated by our epidemiology-inspired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framework. Existing accessibility enhancement techniques include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preventative treatments such as developer guidelines [1,4]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automatic interface analysis tools [5,19] as well as therapeutic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treatments such as adding custom labels for screen readers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forums where people can search for assistance [6]. </w:t>
      </w:r>
    </w:p>
    <w:p>
      <w:pPr>
        <w:autoSpaceDN w:val="0"/>
        <w:autoSpaceDE w:val="0"/>
        <w:widowControl/>
        <w:spacing w:line="245" w:lineRule="auto" w:before="88" w:after="0"/>
        <w:ind w:left="62" w:right="13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Some existing treatments might have been tested on a small scale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with user testing or on a small number of apps, but systematic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population-based longitudinal multi-factor analyses are lacking.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Such analyses could provide more insights into the effectiveness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treatments that address accessibility diseases and highlight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opportunities for improvement. </w:t>
      </w:r>
    </w:p>
    <w:p>
      <w:pPr>
        <w:autoSpaceDN w:val="0"/>
        <w:autoSpaceDE w:val="0"/>
        <w:widowControl/>
        <w:spacing w:line="245" w:lineRule="auto" w:before="86" w:after="0"/>
        <w:ind w:left="6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Example metrics from epidemiology include: (1) tracking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prevalence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or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lethality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different disease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determinants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or causes,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population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(e.g., how many Android apps have an unlabeled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image button, or how many apps in that same population are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abandoned because of that “inaccessibility disease”); (2) performing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such tracking before and after a treatment is introduced (e.g., adding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empty content description warning in Android Studio),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(3) examining whether a treatment influences factors as expected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(e.g., logging whether missing content description warnings are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frequently muted in Android Studio). An impactful treatment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should be reflected in the metrics of the whole population. By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collecting population-level longitudinal multi-factor data, we can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better evaluate the strength of different approaches.</w:t>
      </w:r>
    </w:p>
    <w:p>
      <w:pPr>
        <w:sectPr>
          <w:type w:val="continuous"/>
          <w:pgSz w:w="12240" w:h="15840"/>
          <w:pgMar w:top="256" w:right="1014" w:bottom="248" w:left="1018" w:header="720" w:footer="720" w:gutter="0"/>
          <w:cols w:space="720" w:num="2" w:equalWidth="0"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8</w:t>
      </w:r>
    </w:p>
    <w:p>
      <w:pPr>
        <w:sectPr>
          <w:type w:val="nextColumn"/>
          <w:pgSz w:w="12240" w:h="15840"/>
          <w:pgMar w:top="256" w:right="1014" w:bottom="248" w:left="1018" w:header="720" w:footer="720" w:gutter="0"/>
          <w:cols w:space="720" w:num="2" w:equalWidth="0"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"/>
        <w:ind w:left="0" w:right="0"/>
      </w:pPr>
    </w:p>
    <w:p>
      <w:pPr>
        <w:autoSpaceDN w:val="0"/>
        <w:tabs>
          <w:tab w:pos="611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 xml:space="preserve">Session: Interaction Techniques and Frameworks </w:t>
      </w:r>
      <w:r>
        <w:tab/>
      </w: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ASSETS'17, Oct. 29–Nov. 1, 2017, Baltimore, MD, USA</w:t>
      </w:r>
    </w:p>
    <w:p>
      <w:pPr>
        <w:autoSpaceDN w:val="0"/>
        <w:tabs>
          <w:tab w:pos="5278" w:val="left"/>
        </w:tabs>
        <w:autoSpaceDE w:val="0"/>
        <w:widowControl/>
        <w:spacing w:line="230" w:lineRule="auto" w:before="366" w:after="6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4.6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Inform Public Policy and Regulation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5.2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Results </w:t>
      </w:r>
    </w:p>
    <w:p>
      <w:pPr>
        <w:sectPr>
          <w:pgSz w:w="12240" w:h="15840"/>
          <w:pgMar w:top="258" w:right="1014" w:bottom="248" w:left="1080" w:header="720" w:footer="720" w:gutter="0"/>
          <w:cols w:space="720" w:num="1" w:equalWidth="0"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7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Epidemiology’s consideration of multi-factor and population-level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influences on health within an ecosystem guides data collection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analysis. In turn, that data can be applied to impact public health.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Mirroring Gordis’ [20] final objective for epidemiology,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Informing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Public Policy and Regulation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we consider how a population-based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model of app accessibility can change the app environment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enhance the health of apps. Changes could include legislation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(e.g., web accessibility [32]), company-enforced vetting of apps,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initiatives to inform developers, or initiatives to educate people 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available treatments for their apps. Data-driven direction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structure can propel these changes to happen. For example, as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introduction of this paper, the percentage of people in the world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with disabilities is often used as motivation for accessibility work.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Similar data around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prevalence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and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lethality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or impact, of app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accessibility problems could compel policy changes. An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epidemiology-inspired framework helps inform what data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collection, analysis, and presentation might look like. </w:t>
      </w:r>
    </w:p>
    <w:p>
      <w:pPr>
        <w:autoSpaceDN w:val="0"/>
        <w:autoSpaceDE w:val="0"/>
        <w:widowControl/>
        <w:spacing w:line="245" w:lineRule="auto" w:before="90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5. EXERCISING THE FRAMEWORK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Our chief contribution in this paper is conceptual, providing a new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framework that reshapes how we think about and work to improve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 accessibility. To demonstrate how this framework guided our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own thinking, we present an initial empirical study of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prevalence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various “inaccessibility diseases” in Android apps. </w:t>
      </w:r>
    </w:p>
    <w:p>
      <w:pPr>
        <w:autoSpaceDN w:val="0"/>
        <w:autoSpaceDE w:val="0"/>
        <w:widowControl/>
        <w:spacing w:line="245" w:lineRule="auto" w:before="94" w:after="0"/>
        <w:ind w:left="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5.1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Method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 took a stratified sample from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population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top free Android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apps. Apps were selected from the “top downloaded, free” lists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Google Play Store in each of ten categories (i.e., our strata):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Business, Communication, Education, Entertainment, Health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Fitness, Maps and Navigation, Medical, Productivity, Shopping,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Social. We excluded apps that required a specialized log-in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(e.g., a bank account or subscription) or blocked automated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scanning (e.g., banking apps often block taking screenshots). Ten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apps from each category were analyzed, totaling 100 apps. For each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app, 4-8 primary tasks were identified. For example, in the “Indeed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Job Search” app, the tasks were as follows: recover forgotten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password, log-in, search for jobs, apply for jobs, and access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settings. Google’s Accessibility Scanner [19] was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diagnostic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tool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used to scan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each screen required to complete the tasks for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determinants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various “inaccessibility diseases” (Table 2). </w:t>
      </w:r>
    </w:p>
    <w:p>
      <w:pPr>
        <w:autoSpaceDN w:val="0"/>
        <w:autoSpaceDE w:val="0"/>
        <w:widowControl/>
        <w:spacing w:line="245" w:lineRule="auto" w:before="126" w:after="84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16"/>
        </w:rPr>
        <w:t xml:space="preserve">Table 2.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The accessibility errors, or </w:t>
      </w:r>
      <w:r>
        <w:rPr>
          <w:rFonts w:ascii="Arial,Italic" w:hAnsi="Arial,Italic" w:eastAsia="Arial,Italic"/>
          <w:b w:val="0"/>
          <w:i/>
          <w:color w:val="000000"/>
          <w:sz w:val="16"/>
        </w:rPr>
        <w:t>disease determinants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, reported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by Google’s Accessibility Scanner provide a </w:t>
      </w:r>
      <w:r>
        <w:rPr>
          <w:rFonts w:ascii="Arial,Italic" w:hAnsi="Arial,Italic" w:eastAsia="Arial,Italic"/>
          <w:b w:val="0"/>
          <w:i/>
          <w:color w:val="000000"/>
          <w:sz w:val="16"/>
        </w:rPr>
        <w:t>health indicator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for apps.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3"/>
        <w:gridCol w:w="5073"/>
      </w:tblGrid>
      <w:tr>
        <w:trPr>
          <w:trHeight w:hRule="exact" w:val="232"/>
        </w:trPr>
        <w:tc>
          <w:tcPr>
            <w:tcW w:type="dxa" w:w="152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 xml:space="preserve">Error </w:t>
            </w:r>
          </w:p>
        </w:tc>
        <w:tc>
          <w:tcPr>
            <w:tcW w:type="dxa" w:w="3216"/>
            <w:tcBorders>
              <w:start w:sz="4.0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16"/>
              </w:rPr>
              <w:t xml:space="preserve">Description </w:t>
            </w:r>
          </w:p>
        </w:tc>
      </w:tr>
      <w:tr>
        <w:trPr>
          <w:trHeight w:hRule="exact" w:val="204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Clickable Items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Overlapping clickable items </w:t>
            </w:r>
          </w:p>
        </w:tc>
      </w:tr>
      <w:tr>
        <w:trPr>
          <w:trHeight w:hRule="exact" w:val="560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0" w:right="0" w:firstLine="0"/>
              <w:jc w:val="center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Editable Image Label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TextView has a content description. This might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interfere with a screen reader’s ability to read the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content of the text field </w:t>
            </w:r>
          </w:p>
        </w:tc>
      </w:tr>
      <w:tr>
        <w:trPr>
          <w:trHeight w:hRule="exact" w:val="192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Image Contrast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Low contrast in image or icon </w:t>
            </w:r>
          </w:p>
        </w:tc>
      </w:tr>
      <w:tr>
        <w:trPr>
          <w:trHeight w:hRule="exact" w:val="194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Item Descriptions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Items with identical speakable text </w:t>
            </w:r>
          </w:p>
        </w:tc>
      </w:tr>
      <w:tr>
        <w:trPr>
          <w:trHeight w:hRule="exact" w:val="198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Item Label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Missing element label </w:t>
            </w:r>
          </w:p>
        </w:tc>
      </w:tr>
      <w:tr>
        <w:trPr>
          <w:trHeight w:hRule="exact" w:val="560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Item Type Label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Item label ends with type, e.g., “Play Button.”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TalkBack automatically announces item type, so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information is redundant </w:t>
            </w:r>
          </w:p>
        </w:tc>
      </w:tr>
      <w:tr>
        <w:trPr>
          <w:trHeight w:hRule="exact" w:val="196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Link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URL in link may be invalid </w:t>
            </w:r>
          </w:p>
        </w:tc>
      </w:tr>
      <w:tr>
        <w:trPr>
          <w:trHeight w:hRule="exact" w:val="376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Text Contrast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576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Low text contrast between foreground and </w:t>
            </w: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background </w:t>
            </w:r>
          </w:p>
        </w:tc>
      </w:tr>
      <w:tr>
        <w:trPr>
          <w:trHeight w:hRule="exact" w:val="176"/>
        </w:trPr>
        <w:tc>
          <w:tcPr>
            <w:tcW w:type="dxa" w:w="15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2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Touch Target </w:t>
            </w:r>
          </w:p>
        </w:tc>
        <w:tc>
          <w:tcPr>
            <w:tcW w:type="dxa" w:w="321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Arial Narrow" w:hAnsi="Arial Narrow" w:eastAsia="Arial Narrow"/>
                <w:b w:val="0"/>
                <w:i w:val="0"/>
                <w:color w:val="000000"/>
                <w:sz w:val="16"/>
              </w:rPr>
              <w:t xml:space="preserve">Item is too small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258" w:right="1014" w:bottom="248" w:left="1080" w:header="720" w:footer="720" w:gutter="0"/>
          <w:cols w:space="720" w:num="2" w:equalWidth="0">
            <w:col w:w="4922" w:space="0"/>
            <w:col w:w="5223" w:space="0"/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9</w:t>
      </w:r>
    </w:p>
    <w:p>
      <w:pPr>
        <w:sectPr>
          <w:type w:val="nextColumn"/>
          <w:pgSz w:w="12240" w:h="15840"/>
          <w:pgMar w:top="258" w:right="1014" w:bottom="248" w:left="1080" w:header="720" w:footer="720" w:gutter="0"/>
          <w:cols w:space="720" w:num="2" w:equalWidth="0">
            <w:col w:w="4922" w:space="0"/>
            <w:col w:w="5223" w:space="0"/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sectPr>
          <w:pgSz w:w="12240" w:h="15840"/>
          <w:pgMar w:top="256" w:right="1012" w:bottom="248" w:left="1080" w:header="720" w:footer="720" w:gutter="0"/>
          <w:cols w:space="720" w:num="2" w:equalWidth="0">
            <w:col w:w="4922" w:space="0"/>
            <w:col w:w="5223" w:space="0"/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Session: Interaction Techniques and Frameworks</w:t>
      </w:r>
    </w:p>
    <w:p>
      <w:pPr>
        <w:autoSpaceDN w:val="0"/>
        <w:autoSpaceDE w:val="0"/>
        <w:widowControl/>
        <w:spacing w:line="240" w:lineRule="auto" w:before="36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14979" cy="207263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979" cy="2072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" w:after="0"/>
        <w:ind w:left="0" w:right="144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6"/>
        </w:rPr>
        <w:t xml:space="preserve">Figure 6.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 The distribution of the number of errors in each app </w:t>
      </w:r>
      <w:r>
        <w:rPr>
          <w:rFonts w:ascii="Arial" w:hAnsi="Arial" w:eastAsia="Arial"/>
          <w:b w:val="0"/>
          <w:i w:val="0"/>
          <w:color w:val="000000"/>
          <w:sz w:val="16"/>
        </w:rPr>
        <w:t>explores co-occurrences of different disease determinants. Co-</w:t>
      </w:r>
      <w:r>
        <w:rPr>
          <w:rFonts w:ascii="Arial" w:hAnsi="Arial" w:eastAsia="Arial"/>
          <w:b w:val="0"/>
          <w:i w:val="0"/>
          <w:color w:val="000000"/>
          <w:sz w:val="16"/>
        </w:rPr>
        <w:t>occurrence might suggest different underlying influential factors.</w:t>
      </w:r>
    </w:p>
    <w:p>
      <w:pPr>
        <w:autoSpaceDN w:val="0"/>
        <w:autoSpaceDE w:val="0"/>
        <w:widowControl/>
        <w:spacing w:line="245" w:lineRule="auto" w:before="124" w:after="0"/>
        <w:ind w:left="0" w:right="21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Although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prevalence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is one useful metric of app accessibility, it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does not alone capture disease causes or impact. The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lethality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each case of inaccessibility varies due to the determinant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context. For example, the Item Label error is more lethal than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Item Type Label for a screen reader user. A Touch Target error may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be more lethal for someone with a motor impairment than an Item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Label error. These observations motivate the development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advanced diagnostic tools and techniques that can give deeper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insights into the most impactful determinants. </w:t>
      </w:r>
    </w:p>
    <w:p>
      <w:pPr>
        <w:autoSpaceDN w:val="0"/>
        <w:autoSpaceDE w:val="0"/>
        <w:widowControl/>
        <w:spacing w:line="245" w:lineRule="auto" w:before="88" w:after="0"/>
        <w:ind w:left="0" w:right="21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There are many co-occurrences of different determinants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inaccessibility (Figure 6). Cases where different lethalities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similar determinants co-occur are of special interest. For example,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Item Description and Item Label are similar errors but Item Label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is usually more lethal. An Item Label error will result in a screen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reader saying “unlabeled button” versus an Item Description error will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cause it to redundantly say “save button button.” The co-occurrence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these determinants raises the question of why some elements get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poor labels while others get none. The fact that the co-occurrence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was not an isolated incident (at least 11% of apps tested had both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errors) suggests that there might be underlying common factors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involved. A more detailed analysis of what tools, education, 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other factors contributed to some elements being labeled while 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space="720" w:num="2" w:equalWidth="0">
            <w:col w:w="5062" w:space="0"/>
            <w:col w:w="5085" w:space="0"/>
            <w:col w:w="4922" w:space="0"/>
            <w:col w:w="5223" w:space="0"/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52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ASSETS'17, Oct. 29–Nov. 1, 2017, Baltimore, MD, USA</w:t>
      </w:r>
    </w:p>
    <w:p>
      <w:pPr>
        <w:autoSpaceDN w:val="0"/>
        <w:autoSpaceDE w:val="0"/>
        <w:widowControl/>
        <w:spacing w:line="245" w:lineRule="auto" w:before="362" w:after="0"/>
        <w:ind w:left="216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larger ecosystem of app accessibility. The framework also provided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many opportunities for considering future work in understanding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enhancing app accessibility. </w:t>
      </w:r>
    </w:p>
    <w:p>
      <w:pPr>
        <w:autoSpaceDN w:val="0"/>
        <w:autoSpaceDE w:val="0"/>
        <w:widowControl/>
        <w:spacing w:line="245" w:lineRule="auto" w:before="90" w:after="0"/>
        <w:ind w:left="216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primary purpose and contribution of this paper is to introduce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the epidemiology-inspired framework for app accessibility and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put a small piece of it through its paces in a preliminary analysis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disease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prevalence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. But, as the size of the entire framework makes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clear, there are many other aspects of accessibility that can be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measured in future work. Creating tools that allow for large-scale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population-level analyses, tracing “inaccessibility diseases” in apps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to identify potential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agents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(e.g., the Android Studio icon button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example), and designing novel interventions beyond guidelines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individual developer tools are priorities for future work. Our new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conceptual framework provides the motivation and structure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explore these opportunities. We acknowledge the sheer size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complexity of the epidemiology-inspired framework, but find it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proportional to the problems and opportunities associated with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improving the accessibility of the entire mobile app ecosystem. </w:t>
      </w:r>
    </w:p>
    <w:p>
      <w:pPr>
        <w:autoSpaceDN w:val="0"/>
        <w:autoSpaceDE w:val="0"/>
        <w:widowControl/>
        <w:spacing w:line="245" w:lineRule="auto" w:before="92" w:after="0"/>
        <w:ind w:left="21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7. CONCLUSION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 have shown how epidemiology’s motivation, language,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techniques, and models are highly transferrable to the challenge of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mobile app accessibility on a population-level, beyond just addressing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individual apps. It is our hope that our epidemiology-inspired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framework will shape, guide, and inform our current methods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priorities for addressing app accessibility by incorporating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multi-factor, longitudinal, and population-level concepts. </w:t>
      </w:r>
    </w:p>
    <w:p>
      <w:pPr>
        <w:autoSpaceDN w:val="0"/>
        <w:autoSpaceDE w:val="0"/>
        <w:widowControl/>
        <w:spacing w:line="245" w:lineRule="auto" w:before="134" w:after="0"/>
        <w:ind w:left="21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8. ACKNOWLEDGMENTS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 thank Anat Caspi of the Taskar Center for Accessible Technology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at the University of Washington for her insights and feedback. This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work was funded in part by the National Science Foundation under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awards IIS-1053868, IIS-1702751, and DGE-1256082; the Wilma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Bradley Endowed Fellowship in Computer Science &amp; Engineering;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 Google Faculty Award; and The Mani Charitable Foundation. 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94" w:after="0"/>
        <w:ind w:left="216" w:right="1296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9. REFERENCES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Android Accessibility Developer Guidelines.</w:t>
      </w:r>
    </w:p>
    <w:p>
      <w:pPr>
        <w:autoSpaceDN w:val="0"/>
        <w:autoSpaceDE w:val="0"/>
        <w:widowControl/>
        <w:spacing w:line="233" w:lineRule="auto" w:before="10" w:after="0"/>
        <w:ind w:left="5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https://developer.android.com/guide/topics/ui/accessibility</w:t>
      </w:r>
    </w:p>
    <w:p>
      <w:pPr>
        <w:autoSpaceDN w:val="0"/>
        <w:tabs>
          <w:tab w:pos="506" w:val="left"/>
        </w:tabs>
        <w:autoSpaceDE w:val="0"/>
        <w:widowControl/>
        <w:spacing w:line="233" w:lineRule="auto" w:before="86" w:after="0"/>
        <w:ind w:left="21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Android Studio.</w:t>
      </w:r>
    </w:p>
    <w:p>
      <w:pPr>
        <w:autoSpaceDN w:val="0"/>
        <w:autoSpaceDE w:val="0"/>
        <w:widowControl/>
        <w:spacing w:line="233" w:lineRule="auto" w:before="8" w:after="70"/>
        <w:ind w:left="50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https://developer.android.com/studio/index.html</w:t>
      </w:r>
    </w:p>
    <w:p>
      <w:pPr>
        <w:sectPr>
          <w:type w:val="nextColumn"/>
          <w:pgSz w:w="12240" w:h="15840"/>
          <w:pgMar w:top="256" w:right="1012" w:bottom="248" w:left="1080" w:header="720" w:footer="720" w:gutter="0"/>
          <w:cols w:space="720" w:num="2" w:equalWidth="0">
            <w:col w:w="5062" w:space="0"/>
            <w:col w:w="5085" w:space="0"/>
            <w:col w:w="4922" w:space="0"/>
            <w:col w:w="5223" w:space="0"/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83"/>
        <w:gridCol w:w="3383"/>
        <w:gridCol w:w="3383"/>
      </w:tblGrid>
      <w:tr>
        <w:trPr>
          <w:trHeight w:hRule="exact" w:val="20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others were not would give insight into: (1) in what stages of an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3.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Androzoo. https://androzoo.uni.lu/</w:t>
            </w:r>
          </w:p>
        </w:tc>
      </w:tr>
      <w:tr>
        <w:trPr>
          <w:trHeight w:hRule="exact" w:val="20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app’s natural history of development and usage it might be exposed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4.</w:t>
            </w:r>
          </w:p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4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Apple Accessibility Developer Guidelines.</w:t>
            </w:r>
          </w:p>
        </w:tc>
      </w:tr>
      <w:tr>
        <w:trPr>
          <w:trHeight w:hRule="exact" w:val="108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to different infectious agents and determinants (e.g., what libraries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https://developer.apple.com/accessibility/ios/</w:t>
            </w:r>
          </w:p>
        </w:tc>
      </w:tr>
      <w:tr>
        <w:trPr>
          <w:trHeight w:hRule="exact" w:val="18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are associated with unlabeled versus poorly labeled elements); (2)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the effectiveness of current treatments; and (3) where in the chain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5.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Apple Accessibility Scanner.</w:t>
            </w:r>
          </w:p>
        </w:tc>
      </w:tr>
      <w:tr>
        <w:trPr>
          <w:trHeight w:hRule="exact" w:val="193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 infection new treatments might be most effective.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9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6.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https://developer.apple.com/library/content/documentation/</w:t>
            </w:r>
          </w:p>
        </w:tc>
      </w:tr>
      <w:tr>
        <w:trPr>
          <w:trHeight w:hRule="exact" w:val="7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Accsssibility/Conceptual/AccessibilityMacOSX/</w:t>
            </w:r>
          </w:p>
        </w:tc>
      </w:tr>
      <w:tr>
        <w:trPr>
          <w:trHeight w:hRule="exact" w:val="136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Our results also highlight the limitations of current accessibility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OSXAXTestingApps.html</w:t>
            </w:r>
          </w:p>
        </w:tc>
      </w:tr>
      <w:tr>
        <w:trPr>
          <w:trHeight w:hRule="exact" w:val="138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analysis tools. As noted above, the three apps that only have one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AppleVis. http://www.applevis.com/</w:t>
            </w:r>
          </w:p>
        </w:tc>
      </w:tr>
      <w:tr>
        <w:trPr>
          <w:trHeight w:hRule="exact" w:val="20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error are due to the whole interface canvas being represented as a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single, unlabeled element. This design makes them among the most 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7.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Victoria Bellotti, Maribeth Back, W. Keith Edwards, Rebecca</w:t>
            </w:r>
          </w:p>
        </w:tc>
      </w:tr>
      <w:tr>
        <w:trPr>
          <w:trHeight w:hRule="exact" w:val="17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inaccessible apps for screen reader users. Yet our current approach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E. Grinter, Austin Henderson, and Cristina Lopes. (2002).</w:t>
            </w:r>
          </w:p>
        </w:tc>
      </w:tr>
      <w:tr>
        <w:trPr>
          <w:trHeight w:hRule="exact" w:val="52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 counting types of errors, based on the granularity of the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Making Sense of Sensing Systems: Five Questions for</w:t>
            </w:r>
          </w:p>
        </w:tc>
      </w:tr>
      <w:tr>
        <w:trPr>
          <w:trHeight w:hRule="exact" w:val="70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Accessibility Scanner, does not reflect the magnitude of those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338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8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8.</w:t>
            </w:r>
          </w:p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Designers and Researchers.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Proc CHI 2002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,  415–422.</w:t>
            </w:r>
          </w:p>
        </w:tc>
      </w:tr>
      <w:tr>
        <w:trPr>
          <w:trHeight w:hRule="exact" w:val="48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single error cases. Advancements in diagnostic tools would allow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http://doi.org/10.1145/503376.503450</w:t>
            </w:r>
          </w:p>
        </w:tc>
      </w:tr>
      <w:tr>
        <w:trPr>
          <w:trHeight w:hRule="exact" w:val="88"/>
        </w:trPr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for the collection of better overall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health metrics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.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3383"/>
            <w:vMerge/>
            <w:tcBorders/>
          </w:tcPr>
          <w:p/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2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Jeffrey P. Bigham, Anna C. Cavender, Jeremy T. Brudvik,</w:t>
            </w:r>
          </w:p>
        </w:tc>
      </w:tr>
      <w:tr>
        <w:trPr>
          <w:trHeight w:hRule="exact" w:val="224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>6. TAKEAWAYS AND FUTURE WORK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Jacob O. Wobbrock, and Richard E. Lander. (2007).</w:t>
            </w:r>
          </w:p>
        </w:tc>
      </w:tr>
      <w:tr>
        <w:trPr>
          <w:trHeight w:hRule="exact" w:val="201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Our epidemiology-inspired framework has influenced how we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WebinSitu: a Comparative Analysis of Blind and Sighted</w:t>
            </w:r>
          </w:p>
        </w:tc>
      </w:tr>
      <w:tr>
        <w:trPr>
          <w:trHeight w:hRule="exact" w:val="21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approach app accessibility, driving our initial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prevalence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 analysis.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Browsing Behavior.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Proc. Assets 2007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,  51–58.</w:t>
            </w:r>
          </w:p>
        </w:tc>
      </w:tr>
      <w:tr>
        <w:trPr>
          <w:trHeight w:hRule="exact" w:val="222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Situating our analysis and findings within the framework guided </w:t>
            </w:r>
          </w:p>
        </w:tc>
        <w:tc>
          <w:tcPr>
            <w:tcW w:type="dxa" w:w="3383"/>
            <w:vMerge/>
            <w:tcBorders/>
          </w:tcPr>
          <w:p/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http://doi.org/10.1145/1296843.1296854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0" w:right="518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our methods, structured the types of phenomena we investigated,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and gave us language to discuss the results and how they impact the </w:t>
      </w:r>
    </w:p>
    <w:p>
      <w:pPr>
        <w:autoSpaceDN w:val="0"/>
        <w:autoSpaceDE w:val="0"/>
        <w:widowControl/>
        <w:spacing w:line="240" w:lineRule="auto" w:before="912" w:after="0"/>
        <w:ind w:left="0" w:right="0" w:firstLine="0"/>
        <w:jc w:val="center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10</w:t>
      </w:r>
    </w:p>
    <w:p>
      <w:pPr>
        <w:sectPr>
          <w:type w:val="continuous"/>
          <w:pgSz w:w="12240" w:h="15840"/>
          <w:pgMar w:top="256" w:right="1012" w:bottom="248" w:left="1080" w:header="720" w:footer="720" w:gutter="0"/>
          <w:cols w:space="720" w:num="1" w:equalWidth="0">
            <w:col w:w="10148" w:space="0"/>
            <w:col w:w="5062" w:space="0"/>
            <w:col w:w="5085" w:space="0"/>
            <w:col w:w="4922" w:space="0"/>
            <w:col w:w="5223" w:space="0"/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6114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 xml:space="preserve">Session: Interaction Techniques and Frameworks </w:t>
      </w:r>
      <w:r>
        <w:tab/>
      </w: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ASSETS'17, Oct. 29–Nov. 1, 2017, Baltimore, MD, USA</w:t>
      </w:r>
    </w:p>
    <w:p>
      <w:pPr>
        <w:autoSpaceDN w:val="0"/>
        <w:tabs>
          <w:tab w:pos="288" w:val="left"/>
          <w:tab w:pos="5278" w:val="left"/>
        </w:tabs>
        <w:autoSpaceDE w:val="0"/>
        <w:widowControl/>
        <w:spacing w:line="233" w:lineRule="auto" w:before="362" w:after="8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Matt Bishop. (2003). What is Computer Security?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IEEE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25. Lauren R. Milne, Cynthia L. Bennett, and Richard E. Ladner.</w:t>
      </w:r>
    </w:p>
    <w:p>
      <w:pPr>
        <w:sectPr>
          <w:pgSz w:w="12240" w:h="15840"/>
          <w:pgMar w:top="256" w:right="1060" w:bottom="248" w:left="1080" w:header="720" w:footer="720" w:gutter="0"/>
          <w:cols w:space="720" w:num="1" w:equalWidth="0">
            <w:col w:w="10100" w:space="0"/>
            <w:col w:w="10148" w:space="0"/>
            <w:col w:w="5062" w:space="0"/>
            <w:col w:w="5085" w:space="0"/>
            <w:col w:w="4922" w:space="0"/>
            <w:col w:w="5223" w:space="0"/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1152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Security &amp; Privacy Magazine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1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(1), 67–69.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http://doi.org/10.1109/MSECP.2003.1176998</w:t>
      </w:r>
    </w:p>
    <w:p>
      <w:pPr>
        <w:autoSpaceDN w:val="0"/>
        <w:autoSpaceDE w:val="0"/>
        <w:widowControl/>
        <w:spacing w:line="245" w:lineRule="auto" w:before="90" w:after="0"/>
        <w:ind w:left="288" w:right="0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10. Matthias Böhmer, Brent Hecht, Johannes Schöning, Antonio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Krüger, and Gernot Bauer. (2011). Falling Asleep with Angry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Birds, Facebook and Kindle – A Large Scale Study on Mobile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Application Usage.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Proc. MobileHCI 2011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,  47–56.</w:t>
      </w:r>
    </w:p>
    <w:p>
      <w:pPr>
        <w:autoSpaceDN w:val="0"/>
        <w:autoSpaceDE w:val="0"/>
        <w:widowControl/>
        <w:spacing w:line="233" w:lineRule="auto" w:before="8" w:after="0"/>
        <w:ind w:left="2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http://doi.org/10.1145/2037373.2037383</w:t>
      </w:r>
    </w:p>
    <w:p>
      <w:pPr>
        <w:autoSpaceDN w:val="0"/>
        <w:autoSpaceDE w:val="0"/>
        <w:widowControl/>
        <w:spacing w:line="245" w:lineRule="auto" w:before="88" w:after="0"/>
        <w:ind w:left="288" w:right="288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11. Urie Bronfenbrenner. (1979).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The Ecology of Human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Development: Experiments by Nature and Design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. Harvard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University Press.</w:t>
      </w:r>
    </w:p>
    <w:p>
      <w:pPr>
        <w:autoSpaceDN w:val="0"/>
        <w:autoSpaceDE w:val="0"/>
        <w:widowControl/>
        <w:spacing w:line="245" w:lineRule="auto" w:before="88" w:after="0"/>
        <w:ind w:left="288" w:right="0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12. Parmit K. Chilana, Andrew J. Ko, Jacob O. Wobbrock, Tovi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Grossman, and George Fitzmaurice. (2011). Post-Deployment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Usability: a Survey of Current Practices.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Proc. CHI 2011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2243–2246. http://doi.org/10.1145/1978942.1979270</w:t>
      </w:r>
    </w:p>
    <w:p>
      <w:pPr>
        <w:autoSpaceDN w:val="0"/>
        <w:autoSpaceDE w:val="0"/>
        <w:widowControl/>
        <w:spacing w:line="245" w:lineRule="auto" w:before="88" w:after="0"/>
        <w:ind w:left="288" w:right="288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13. Raphael Clegg-Vinell, Christopher Bailey, and Voula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Gkatzidou. (2014). Investigating the Appropriateness and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Relevance of Mobile Web Accessibility Guidelines.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Proc.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W4A 2014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, 1–4. http://doi.org/10.1145/2596695.2596717</w:t>
      </w:r>
    </w:p>
    <w:p>
      <w:pPr>
        <w:autoSpaceDN w:val="0"/>
        <w:autoSpaceDE w:val="0"/>
        <w:widowControl/>
        <w:spacing w:line="245" w:lineRule="auto" w:before="86" w:after="0"/>
        <w:ind w:left="288" w:right="288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14. Association for Professionals in Infection Control. (2017).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Break the Chain of Infection.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Infection Protection and You: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Healthcare Professionals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5" w:lineRule="auto" w:before="86" w:after="0"/>
        <w:ind w:left="288" w:right="432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15. Michael Cooper, Peter Korn, Andi Snow-Weaver, Gregg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Vanderheiden, Loïc Martínez Normand, and Mike Pluke.</w:t>
      </w:r>
    </w:p>
    <w:p>
      <w:pPr>
        <w:autoSpaceDN w:val="0"/>
        <w:autoSpaceDE w:val="0"/>
        <w:widowControl/>
        <w:spacing w:line="245" w:lineRule="auto" w:before="8" w:after="0"/>
        <w:ind w:left="288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(2013).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Guidance on Applying WCAG 2.0 to Non-Web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Information and Communications Technologies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(WCAG2ICT)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. http://www.w3.org/TR/wcag2ict/</w:t>
      </w:r>
    </w:p>
    <w:p>
      <w:pPr>
        <w:autoSpaceDN w:val="0"/>
        <w:autoSpaceDE w:val="0"/>
        <w:widowControl/>
        <w:spacing w:line="245" w:lineRule="auto" w:before="88" w:after="0"/>
        <w:ind w:left="288" w:right="144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16. Biplab Deka, Zifeng Huang, and Ranjitha Kumar. (2016).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ERICA: Interaction Mining Mobile Apps.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Proc. UIST 2016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767–776. http://doi.org/10.1145/2984511.2984581</w:t>
      </w:r>
    </w:p>
    <w:p>
      <w:pPr>
        <w:autoSpaceDN w:val="0"/>
        <w:autoSpaceDE w:val="0"/>
        <w:widowControl/>
        <w:spacing w:line="245" w:lineRule="auto" w:before="90" w:after="0"/>
        <w:ind w:left="288" w:right="1008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17. Floating Action Button Usage Guidelines.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https://www.material.io/guidelines/components/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buttons-floating-action-button.html</w:t>
      </w:r>
    </w:p>
    <w:p>
      <w:pPr>
        <w:autoSpaceDN w:val="0"/>
        <w:autoSpaceDE w:val="0"/>
        <w:widowControl/>
        <w:spacing w:line="245" w:lineRule="auto" w:before="88" w:after="0"/>
        <w:ind w:left="288" w:right="0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18. Santiago Gil, Alexander Kott, and Albert-László Barabási.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(2014). A Genetic Epidemiology Approach to Cyber-Security.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Scientific Reports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, 5659. http://doi.org/10.1038/srep05659</w:t>
      </w:r>
    </w:p>
    <w:p>
      <w:pPr>
        <w:autoSpaceDN w:val="0"/>
        <w:autoSpaceDE w:val="0"/>
        <w:widowControl/>
        <w:spacing w:line="230" w:lineRule="auto" w:before="9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19. Google Accessibility Scanner.</w:t>
      </w:r>
    </w:p>
    <w:p>
      <w:pPr>
        <w:autoSpaceDN w:val="0"/>
        <w:autoSpaceDE w:val="0"/>
        <w:widowControl/>
        <w:spacing w:line="233" w:lineRule="auto" w:before="8" w:after="0"/>
        <w:ind w:left="2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https://play.google.com/store/apps/details?</w:t>
      </w:r>
    </w:p>
    <w:p>
      <w:pPr>
        <w:autoSpaceDN w:val="0"/>
        <w:autoSpaceDE w:val="0"/>
        <w:widowControl/>
        <w:spacing w:line="233" w:lineRule="auto" w:before="8" w:after="0"/>
        <w:ind w:left="2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id=com.google.android.apps.accessibility.auditor</w:t>
      </w:r>
    </w:p>
    <w:p>
      <w:pPr>
        <w:autoSpaceDN w:val="0"/>
        <w:autoSpaceDE w:val="0"/>
        <w:widowControl/>
        <w:spacing w:line="233" w:lineRule="auto" w:before="8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20. Leon Gordis. (2004).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Epidemiology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. Saunders, Philadelphia, PA.</w:t>
      </w:r>
    </w:p>
    <w:p>
      <w:pPr>
        <w:autoSpaceDN w:val="0"/>
        <w:autoSpaceDE w:val="0"/>
        <w:widowControl/>
        <w:spacing w:line="245" w:lineRule="auto" w:before="88" w:after="0"/>
        <w:ind w:left="288" w:right="144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21. Vicki L. Hanson and John T. Richards. (2013). Progress on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Website Accessibility?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ACM Transactions on the Web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7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(1),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1–30. http://doi.org/10.1145/2435215.2435217</w:t>
      </w:r>
    </w:p>
    <w:p>
      <w:pPr>
        <w:autoSpaceDN w:val="0"/>
        <w:autoSpaceDE w:val="0"/>
        <w:widowControl/>
        <w:spacing w:line="245" w:lineRule="auto" w:before="88" w:after="0"/>
        <w:ind w:left="288" w:right="144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22. Dale F. Leipper. (1961). Oceanography—A Definition for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Academic Use.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Transactions, American Geophysical Union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42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(4), 429. http://doi.org/10.1029/TR042i004p00429</w:t>
      </w:r>
    </w:p>
    <w:p>
      <w:pPr>
        <w:autoSpaceDN w:val="0"/>
        <w:autoSpaceDE w:val="0"/>
        <w:widowControl/>
        <w:spacing w:line="245" w:lineRule="auto" w:before="88" w:after="0"/>
        <w:ind w:left="288" w:right="144" w:hanging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23. Jennifer Mankoff, Holly Fait, and Tu Tran. (2005). Is Your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Web Page Accessible?: a Comparative Study of Methods for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Assessing Web Page Accessibility for the Blind.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Proc. CHI </w:t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2005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,  41–50. http://doi.org/10.1145/1054972.1054979</w:t>
      </w:r>
    </w:p>
    <w:p>
      <w:pPr>
        <w:autoSpaceDN w:val="0"/>
        <w:autoSpaceDE w:val="0"/>
        <w:widowControl/>
        <w:spacing w:line="230" w:lineRule="auto" w:before="86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24. Material Design. https://material.io/guidelines/</w:t>
      </w:r>
    </w:p>
    <w:p>
      <w:pPr>
        <w:sectPr>
          <w:type w:val="continuous"/>
          <w:pgSz w:w="12240" w:h="15840"/>
          <w:pgMar w:top="256" w:right="1060" w:bottom="248" w:left="1080" w:header="720" w:footer="720" w:gutter="0"/>
          <w:cols w:space="720" w:num="2" w:equalWidth="0">
            <w:col w:w="4872" w:space="0"/>
            <w:col w:w="5228" w:space="0"/>
            <w:col w:w="10100" w:space="0"/>
            <w:col w:w="10148" w:space="0"/>
            <w:col w:w="5062" w:space="0"/>
            <w:col w:w="5085" w:space="0"/>
            <w:col w:w="4922" w:space="0"/>
            <w:col w:w="5223" w:space="0"/>
            <w:col w:w="10146" w:space="0"/>
            <w:col w:w="5039" w:space="0"/>
            <w:col w:w="5168" w:space="0"/>
            <w:col w:w="4922" w:space="0"/>
            <w:col w:w="5225" w:space="0"/>
            <w:col w:w="10100" w:space="0"/>
            <w:col w:w="10202" w:space="0"/>
            <w:col w:w="5112" w:space="0"/>
            <w:col w:w="5090" w:space="0"/>
            <w:col w:w="4922" w:space="0"/>
            <w:col w:w="5225" w:space="0"/>
            <w:col w:w="4922" w:space="0"/>
            <w:col w:w="5225" w:space="0"/>
            <w:col w:w="10148" w:space="0"/>
            <w:col w:w="5198" w:space="0"/>
            <w:col w:w="4950" w:space="0"/>
            <w:col w:w="4946" w:space="0"/>
            <w:col w:w="5201" w:space="0"/>
            <w:col w:w="10148" w:space="0"/>
            <w:col w:w="5062" w:space="0"/>
            <w:col w:w="5085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84" w:right="0" w:firstLine="0"/>
        <w:jc w:val="left"/>
      </w:pPr>
      <w:r>
        <w:rPr>
          <w:rFonts w:ascii="LinuxLibertine" w:hAnsi="LinuxLibertine" w:eastAsia="LinuxLibertine"/>
          <w:b w:val="0"/>
          <w:i w:val="0"/>
          <w:color w:val="000000"/>
          <w:sz w:val="18"/>
        </w:rPr>
        <w:t>11</w:t>
      </w:r>
    </w:p>
    <w:sectPr w:rsidR="00FC693F" w:rsidRPr="0006063C" w:rsidSect="00034616">
      <w:type w:val="nextColumn"/>
      <w:pgSz w:w="12240" w:h="15840"/>
      <w:pgMar w:top="256" w:right="1060" w:bottom="248" w:left="1080" w:header="720" w:footer="720" w:gutter="0"/>
      <w:cols w:space="720" w:num="2" w:equalWidth="0">
        <w:col w:w="4872" w:space="0"/>
        <w:col w:w="5228" w:space="0"/>
        <w:col w:w="10100" w:space="0"/>
        <w:col w:w="10148" w:space="0"/>
        <w:col w:w="5062" w:space="0"/>
        <w:col w:w="5085" w:space="0"/>
        <w:col w:w="4922" w:space="0"/>
        <w:col w:w="5223" w:space="0"/>
        <w:col w:w="10146" w:space="0"/>
        <w:col w:w="5039" w:space="0"/>
        <w:col w:w="5168" w:space="0"/>
        <w:col w:w="4922" w:space="0"/>
        <w:col w:w="5225" w:space="0"/>
        <w:col w:w="10100" w:space="0"/>
        <w:col w:w="10202" w:space="0"/>
        <w:col w:w="5112" w:space="0"/>
        <w:col w:w="5090" w:space="0"/>
        <w:col w:w="4922" w:space="0"/>
        <w:col w:w="5225" w:space="0"/>
        <w:col w:w="4922" w:space="0"/>
        <w:col w:w="5225" w:space="0"/>
        <w:col w:w="10148" w:space="0"/>
        <w:col w:w="5198" w:space="0"/>
        <w:col w:w="4950" w:space="0"/>
        <w:col w:w="4946" w:space="0"/>
        <w:col w:w="5201" w:space="0"/>
        <w:col w:w="10148" w:space="0"/>
        <w:col w:w="5062" w:space="0"/>
        <w:col w:w="5085" w:space="0"/>
        <w:col w:w="101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permissions@acm.org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