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58"/>
        <w:ind w:left="0" w:right="0"/>
      </w:pPr>
    </w:p>
    <w:p>
      <w:pPr>
        <w:autoSpaceDN w:val="0"/>
        <w:autoSpaceDE w:val="0"/>
        <w:widowControl/>
        <w:spacing w:line="444" w:lineRule="exact" w:before="0" w:after="108"/>
        <w:ind w:left="0" w:right="0" w:firstLine="0"/>
        <w:jc w:val="center"/>
      </w:pPr>
      <w:r>
        <w:rPr>
          <w:w w:val="101.3146680944106"/>
          <w:rFonts w:ascii="LinBiolinumTB" w:hAnsi="LinBiolinumTB" w:eastAsia="LinBiolinumTB"/>
          <w:b/>
          <w:i w:val="0"/>
          <w:color w:val="000000"/>
          <w:sz w:val="34"/>
        </w:rPr>
        <w:t>In Situ Workflows at Exascale: System Software to the Rescue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5.99999999999994" w:type="dxa"/>
      </w:tblPr>
      <w:tblGrid>
        <w:gridCol w:w="3384"/>
        <w:gridCol w:w="3384"/>
        <w:gridCol w:w="3384"/>
      </w:tblGrid>
      <w:tr>
        <w:trPr>
          <w:trHeight w:hRule="exact" w:val="1078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6" w:after="0"/>
              <w:ind w:left="288" w:right="288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4"/>
              </w:rPr>
              <w:t xml:space="preserve">Matthieu Dreher </w:t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Argonne National Laboratory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Lemont, IL, USA </w:t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mdreher@anl.gov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6" w:after="0"/>
              <w:ind w:left="432" w:right="288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4"/>
              </w:rPr>
              <w:t xml:space="preserve">Swann Perarnau </w:t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Argonne National Laboratory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Lemont, IL, USA </w:t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swann@anl.gov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6" w:after="0"/>
              <w:ind w:left="432" w:right="288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4"/>
              </w:rPr>
              <w:t xml:space="preserve">Tom Peterka </w:t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Argonne National Laboratory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Lemont, IL, USA </w:t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tpeterka@mcs.anl.gov</w:t>
            </w:r>
          </w:p>
        </w:tc>
      </w:tr>
    </w:tbl>
    <w:p>
      <w:pPr>
        <w:autoSpaceDN w:val="0"/>
        <w:autoSpaceDE w:val="0"/>
        <w:widowControl/>
        <w:spacing w:line="14" w:lineRule="exact" w:before="0" w:after="132"/>
        <w:ind w:left="0" w:right="0"/>
      </w:pPr>
    </w:p>
    <w:p>
      <w:pPr>
        <w:sectPr>
          <w:pgSz w:w="12240" w:h="15840"/>
          <w:pgMar w:top="780" w:right="1024" w:bottom="332" w:left="1064" w:header="720" w:footer="720" w:gutter="0"/>
          <w:cols w:space="720" w:num="1" w:equalWidth="0">
            <w:col w:w="10152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94" w:after="0"/>
        <w:ind w:left="2160" w:right="288" w:firstLine="0"/>
        <w:jc w:val="center"/>
      </w:pPr>
      <w:r>
        <w:rPr>
          <w:rFonts w:ascii="LinLibertineT" w:hAnsi="LinLibertineT" w:eastAsia="LinLibertineT"/>
          <w:b w:val="0"/>
          <w:i w:val="0"/>
          <w:color w:val="000000"/>
          <w:sz w:val="24"/>
        </w:rPr>
        <w:t xml:space="preserve">Kamil Iskra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Argonne National Laboratory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Lemont, IL, USA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iskra@mcs.anl.gov</w:t>
      </w:r>
    </w:p>
    <w:p>
      <w:pPr>
        <w:autoSpaceDN w:val="0"/>
        <w:autoSpaceDE w:val="0"/>
        <w:widowControl/>
        <w:spacing w:line="292" w:lineRule="exact" w:before="128" w:after="0"/>
        <w:ind w:left="10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>ABSTRACT</w:t>
      </w:r>
    </w:p>
    <w:p>
      <w:pPr>
        <w:autoSpaceDN w:val="0"/>
        <w:autoSpaceDE w:val="0"/>
        <w:widowControl/>
        <w:spacing w:line="220" w:lineRule="exact" w:before="28" w:after="0"/>
        <w:ind w:left="6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Implementing an in situ workflow involves several challenges re-</w:t>
      </w:r>
      <w:r>
        <w:rPr>
          <w:w w:val="98.87289471096463"/>
          <w:rFonts w:ascii="LinLibertineT" w:hAnsi="LinLibertineT" w:eastAsia="LinLibertineT"/>
          <w:b w:val="0"/>
          <w:i w:val="0"/>
          <w:color w:val="000000"/>
          <w:sz w:val="18"/>
        </w:rPr>
        <w:t xml:space="preserve">lated to data placement, task scheduling, efficient communications,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>scalability, and reliability. Most of the current implementations pro-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vide reasonably performant solutions to these issues by focusing on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high-performance communications and low-overhead execution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models at the cost of reliability and flexibility.</w:t>
      </w:r>
    </w:p>
    <w:p>
      <w:pPr>
        <w:autoSpaceDN w:val="0"/>
        <w:autoSpaceDE w:val="0"/>
        <w:widowControl/>
        <w:spacing w:line="220" w:lineRule="exact" w:before="28" w:after="0"/>
        <w:ind w:left="10" w:right="0" w:firstLine="198"/>
        <w:jc w:val="left"/>
      </w:pP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One of the key design choices in such infrastructures is between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providing a single-program,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integrated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environment or a multiple-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program,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connected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environment, both solutions having their own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>strengths and weaknesses. While these approaches might be appro-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priate for current production systems, the expected characteristics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of exascale machines will shift current priorities.</w:t>
      </w:r>
    </w:p>
    <w:p>
      <w:pPr>
        <w:autoSpaceDN w:val="0"/>
        <w:autoSpaceDE w:val="0"/>
        <w:widowControl/>
        <w:spacing w:line="220" w:lineRule="exact" w:before="28" w:after="0"/>
        <w:ind w:left="10" w:right="0" w:firstLine="198"/>
        <w:jc w:val="left"/>
      </w:pP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After a survey of the trade-offs and challenges of integrated and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connected in situ workflow solutions available today, we discuss in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>this paper how exascale systems will impact those designs. In partic-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ular, we identify missing features of current system-level software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required for the evolution of in situ workflows toward exascale and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>how system software innovations from the Argo Exascale Comput-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ing Project can help address those challenges.</w:t>
      </w:r>
    </w:p>
    <w:p>
      <w:pPr>
        <w:autoSpaceDN w:val="0"/>
        <w:autoSpaceDE w:val="0"/>
        <w:widowControl/>
        <w:spacing w:line="292" w:lineRule="exact" w:before="170" w:after="0"/>
        <w:ind w:left="10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>CCS CONCEPTS</w:t>
      </w:r>
    </w:p>
    <w:p>
      <w:pPr>
        <w:autoSpaceDN w:val="0"/>
        <w:autoSpaceDE w:val="0"/>
        <w:widowControl/>
        <w:spacing w:line="218" w:lineRule="exact" w:before="44" w:after="0"/>
        <w:ind w:left="10" w:right="148" w:firstLine="0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•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 Computing methodologies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→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 Concurrent programming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languages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;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•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 Software and its engineering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→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Software relia-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>bility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; Data flow architectures;</w:t>
      </w:r>
    </w:p>
    <w:p>
      <w:pPr>
        <w:autoSpaceDN w:val="0"/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>KEYWORDS</w:t>
      </w:r>
    </w:p>
    <w:p>
      <w:pPr>
        <w:autoSpaceDN w:val="0"/>
        <w:autoSpaceDE w:val="0"/>
        <w:widowControl/>
        <w:spacing w:line="248" w:lineRule="exact" w:before="0" w:after="0"/>
        <w:ind w:left="4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Argo, MPI, In Situ Workflows, Exascale, System Software</w:t>
      </w:r>
    </w:p>
    <w:p>
      <w:pPr>
        <w:autoSpaceDN w:val="0"/>
        <w:autoSpaceDE w:val="0"/>
        <w:widowControl/>
        <w:spacing w:line="198" w:lineRule="exact" w:before="110" w:after="0"/>
        <w:ind w:left="10" w:right="144" w:hanging="6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6"/>
        </w:rPr>
        <w:t xml:space="preserve">ACM Reference Format: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Matthieu Dreher, Swann Perarnau, Tom Peterka, Kamil Iskra, and Pete 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Beckman. 2017. In Situ Workflows at Exascale: System Software to the 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Rescue. In</w:t>
      </w:r>
      <w:r>
        <w:rPr>
          <w:rFonts w:ascii="LinLibertineTI" w:hAnsi="LinLibertineTI" w:eastAsia="LinLibertineTI"/>
          <w:b w:val="0"/>
          <w:i/>
          <w:color w:val="000000"/>
          <w:sz w:val="16"/>
        </w:rPr>
        <w:t xml:space="preserve"> Proceedings of In Situ Infrastructures for Enabling Extreme-Scale</w:t>
      </w:r>
    </w:p>
    <w:p>
      <w:pPr>
        <w:autoSpaceDN w:val="0"/>
        <w:autoSpaceDE w:val="0"/>
        <w:widowControl/>
        <w:spacing w:line="192" w:lineRule="exact" w:before="6" w:after="0"/>
        <w:ind w:left="10" w:right="144" w:firstLine="0"/>
        <w:jc w:val="left"/>
      </w:pPr>
      <w:r>
        <w:rPr>
          <w:rFonts w:ascii="LinLibertineTI" w:hAnsi="LinLibertineTI" w:eastAsia="LinLibertineTI"/>
          <w:b w:val="0"/>
          <w:i/>
          <w:color w:val="000000"/>
          <w:sz w:val="16"/>
        </w:rPr>
        <w:t xml:space="preserve">Analysis and Visualization, Denver, Colorado, USA, November 2017 (ISAV’), 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5 pages.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t>https://doi.org/10.1145/3144769.3144774</w:t>
      </w:r>
    </w:p>
    <w:p>
      <w:pPr>
        <w:autoSpaceDN w:val="0"/>
        <w:autoSpaceDE w:val="0"/>
        <w:widowControl/>
        <w:spacing w:line="160" w:lineRule="exact" w:before="206" w:after="0"/>
        <w:ind w:left="10" w:right="166" w:firstLine="0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Publication rights licensed to ACM. ACM acknowledges that this contribution was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authored or co-authored by an employee, contractor or affiliate of the United States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government. As such, the Government retains a nonexclusive, royalty-free right to </w:t>
      </w:r>
      <w:r>
        <w:rPr>
          <w:w w:val="98.67078917367118"/>
          <w:rFonts w:ascii="LinLibertineT" w:hAnsi="LinLibertineT" w:eastAsia="LinLibertineT"/>
          <w:b w:val="0"/>
          <w:i w:val="0"/>
          <w:color w:val="000000"/>
          <w:sz w:val="14"/>
        </w:rPr>
        <w:t xml:space="preserve">publish or reproduce this article, or to allow others to do so, for Government purposes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only.</w:t>
      </w:r>
    </w:p>
    <w:p>
      <w:pPr>
        <w:autoSpaceDN w:val="0"/>
        <w:autoSpaceDE w:val="0"/>
        <w:widowControl/>
        <w:spacing w:line="164" w:lineRule="exact" w:before="18" w:after="0"/>
        <w:ind w:left="0" w:right="0" w:firstLine="10"/>
        <w:jc w:val="left"/>
      </w:pPr>
      <w:r>
        <w:rPr>
          <w:rFonts w:ascii="LinLibertineTI" w:hAnsi="LinLibertineTI" w:eastAsia="LinLibertineTI"/>
          <w:b w:val="0"/>
          <w:i/>
          <w:color w:val="000000"/>
          <w:sz w:val="14"/>
        </w:rPr>
        <w:t>ISAV’, November 2017, Denver, Colorado, USA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©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2017 Copyright held by the owner/author(s). Publication rights licensed to Associa-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tion for Computing Machinery.</w:t>
      </w:r>
    </w:p>
    <w:p>
      <w:pPr>
        <w:autoSpaceDN w:val="0"/>
        <w:autoSpaceDE w:val="0"/>
        <w:widowControl/>
        <w:spacing w:line="160" w:lineRule="exact" w:before="34" w:after="0"/>
        <w:ind w:left="10" w:right="2304" w:hanging="6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ACM ISBN 978-1-4503-5139-3/17/11...$15.00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https://doi.org/10.1145/3144769.3144774</w:t>
      </w:r>
    </w:p>
    <w:p>
      <w:pPr>
        <w:sectPr>
          <w:type w:val="continuous"/>
          <w:pgSz w:w="12240" w:h="15840"/>
          <w:pgMar w:top="780" w:right="1024" w:bottom="332" w:left="1064" w:header="720" w:footer="720" w:gutter="0"/>
          <w:cols w:space="720" w:num="2" w:equalWidth="0">
            <w:col w:w="4982" w:space="0"/>
            <w:col w:w="5169" w:space="0"/>
            <w:col w:w="10152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94" w:after="0"/>
        <w:ind w:left="432" w:right="2160" w:firstLine="0"/>
        <w:jc w:val="center"/>
      </w:pPr>
      <w:r>
        <w:rPr>
          <w:rFonts w:ascii="LinLibertineT" w:hAnsi="LinLibertineT" w:eastAsia="LinLibertineT"/>
          <w:b w:val="0"/>
          <w:i w:val="0"/>
          <w:color w:val="000000"/>
          <w:sz w:val="24"/>
        </w:rPr>
        <w:t xml:space="preserve">Pete Beckman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Argonne National Laboratory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Lemont, IL, USA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beckman@mcs.anl.gov</w:t>
      </w:r>
    </w:p>
    <w:p>
      <w:pPr>
        <w:autoSpaceDN w:val="0"/>
        <w:tabs>
          <w:tab w:pos="644" w:val="left"/>
        </w:tabs>
        <w:autoSpaceDE w:val="0"/>
        <w:widowControl/>
        <w:spacing w:line="292" w:lineRule="exact" w:before="128" w:after="0"/>
        <w:ind w:left="314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1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INTRODUCTION</w:t>
      </w:r>
    </w:p>
    <w:p>
      <w:pPr>
        <w:autoSpaceDN w:val="0"/>
        <w:autoSpaceDE w:val="0"/>
        <w:widowControl/>
        <w:spacing w:line="220" w:lineRule="exact" w:before="28" w:after="0"/>
        <w:ind w:left="306" w:right="0" w:firstLine="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Many scientific processes can be expressed as a workflow graph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where nodes are computational tasks (scientific simulations, anal-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ysis, visualization) and edges are data exchanges between tasks.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Traditional workflow infrastructures exchange data through files. </w:t>
      </w:r>
      <w:r>
        <w:rPr>
          <w:w w:val="98.82263607449002"/>
          <w:rFonts w:ascii="LinLibertineT" w:hAnsi="LinLibertineT" w:eastAsia="LinLibertineT"/>
          <w:b w:val="0"/>
          <w:i w:val="0"/>
          <w:color w:val="000000"/>
          <w:sz w:val="18"/>
        </w:rPr>
        <w:t>However, the increasing gap between I/O bandwidth and computa-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tional capabilities in current and future supercomputers requires a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change in the way scientists are analyzing data produced by sim-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ulations. File-based workflows must now be replaced by in situ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workflows performing data extraction, data reduction, or online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visualization before storing relevant data to the file system.</w:t>
      </w:r>
    </w:p>
    <w:p>
      <w:pPr>
        <w:autoSpaceDN w:val="0"/>
        <w:autoSpaceDE w:val="0"/>
        <w:widowControl/>
        <w:spacing w:line="220" w:lineRule="exact" w:before="28" w:after="0"/>
        <w:ind w:left="314" w:right="0" w:firstLine="198"/>
        <w:jc w:val="left"/>
      </w:pPr>
      <w:r>
        <w:rPr>
          <w:w w:val="98.72205522325304"/>
          <w:rFonts w:ascii="LinLibertineT" w:hAnsi="LinLibertineT" w:eastAsia="LinLibertineT"/>
          <w:b w:val="0"/>
          <w:i w:val="0"/>
          <w:color w:val="000000"/>
          <w:sz w:val="18"/>
        </w:rPr>
        <w:t xml:space="preserve">Over the past few years, several in situ workflow solutions have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been proposed by different research communities. Their designs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tackle the same set of challenges related to data placement, task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scheduling, efficient communications, scalability, and reliability.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Nevertheless, these communities made different design trade-offs,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based on their target workloads and production platforms.</w:t>
      </w:r>
    </w:p>
    <w:p>
      <w:pPr>
        <w:autoSpaceDN w:val="0"/>
        <w:autoSpaceDE w:val="0"/>
        <w:widowControl/>
        <w:spacing w:line="220" w:lineRule="exact" w:before="28" w:after="0"/>
        <w:ind w:left="306" w:right="0" w:firstLine="19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We distinguish two types of currently available workflow sys-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tems, depending on how a system fits its execution model inside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 typical HPC production machine.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 Integrated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workflows map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all their tasks inside a single MPI environment, providing a view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of the workflow as a single program, and performing communi-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cations inside a single view of the entire execution.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 Connected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workflows, instead, separate tasks into different executables, ef-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fectively partitioning a resource allocation among different pieces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and communicating across distinct namespaces through explicit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connections. Both types of in situ workflow designs have their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strengths and weaknesses. Integrated workflows are easier to map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inside a single MPI allocation on production systems, but connected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workflows are more flexible to changes in the system and to faults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in particular.</w:t>
      </w:r>
    </w:p>
    <w:p>
      <w:pPr>
        <w:autoSpaceDN w:val="0"/>
        <w:autoSpaceDE w:val="0"/>
        <w:widowControl/>
        <w:spacing w:line="220" w:lineRule="exact" w:before="28" w:after="0"/>
        <w:ind w:left="314" w:right="50" w:firstLine="198"/>
        <w:jc w:val="both"/>
      </w:pPr>
      <w:r>
        <w:rPr>
          <w:w w:val="98.82263607449002"/>
          <w:rFonts w:ascii="LinLibertineT" w:hAnsi="LinLibertineT" w:eastAsia="LinLibertineT"/>
          <w:b w:val="0"/>
          <w:i w:val="0"/>
          <w:color w:val="000000"/>
          <w:sz w:val="18"/>
        </w:rPr>
        <w:t xml:space="preserve">We argue here that, for exascale platforms, the design trade-offs </w:t>
      </w:r>
      <w:r>
        <w:rPr>
          <w:w w:val="98.87289471096463"/>
          <w:rFonts w:ascii="LinLibertineT" w:hAnsi="LinLibertineT" w:eastAsia="LinLibertineT"/>
          <w:b w:val="0"/>
          <w:i w:val="0"/>
          <w:color w:val="000000"/>
          <w:sz w:val="18"/>
        </w:rPr>
        <w:t xml:space="preserve">of current in situ workflows systems need to be re-evaluated, most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notably regarding reliability and flexibility, and that new features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of system-level software can help with the resulting evolution.</w:t>
      </w:r>
    </w:p>
    <w:p>
      <w:pPr>
        <w:autoSpaceDN w:val="0"/>
        <w:autoSpaceDE w:val="0"/>
        <w:widowControl/>
        <w:spacing w:line="220" w:lineRule="exact" w:before="28" w:after="0"/>
        <w:ind w:left="314" w:right="0" w:firstLine="19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This paper is organized as follows. We review current in situ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infrastructures in Section 2, classifying them as either integrated or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connected systems. We then discuss the typical challenges involved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 the design of an in situ workflow system in Section 3. Section 4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details how those challenges are tackled by current implementa-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tions, and how exascale might impact those design choices. From </w:t>
      </w:r>
      <w:r>
        <w:rPr>
          <w:w w:val="98.72205522325304"/>
          <w:rFonts w:ascii="LinLibertineT" w:hAnsi="LinLibertineT" w:eastAsia="LinLibertineT"/>
          <w:b w:val="0"/>
          <w:i w:val="0"/>
          <w:color w:val="000000"/>
          <w:sz w:val="18"/>
        </w:rPr>
        <w:t>these observations, we argue in Section 5 that system software can</w:t>
      </w:r>
    </w:p>
    <w:p>
      <w:pPr>
        <w:autoSpaceDN w:val="0"/>
        <w:autoSpaceDE w:val="0"/>
        <w:widowControl/>
        <w:spacing w:line="180" w:lineRule="exact" w:before="1176" w:after="0"/>
        <w:ind w:left="134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22</w:t>
      </w:r>
    </w:p>
    <w:p>
      <w:pPr>
        <w:sectPr>
          <w:type w:val="nextColumn"/>
          <w:pgSz w:w="12240" w:h="15840"/>
          <w:pgMar w:top="780" w:right="1024" w:bottom="332" w:left="1064" w:header="720" w:footer="720" w:gutter="0"/>
          <w:cols w:space="720" w:num="2" w:equalWidth="0">
            <w:col w:w="4982" w:space="0"/>
            <w:col w:w="5169" w:space="0"/>
            <w:col w:w="101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sectPr>
          <w:pgSz w:w="12240" w:h="15840"/>
          <w:pgMar w:top="582" w:right="1024" w:bottom="332" w:left="1068" w:header="720" w:footer="720" w:gutter="0"/>
          <w:cols w:space="720" w:num="2" w:equalWidth="0">
            <w:col w:w="4982" w:space="0"/>
            <w:col w:w="5169" w:space="0"/>
            <w:col w:w="10152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8"/>
        </w:rPr>
        <w:t>ISAV’, November 2017, Denver, Colorado, USA</w:t>
      </w:r>
    </w:p>
    <w:p>
      <w:pPr>
        <w:sectPr>
          <w:type w:val="continuous"/>
          <w:pgSz w:w="12240" w:h="15840"/>
          <w:pgMar w:top="582" w:right="1024" w:bottom="332" w:left="1068" w:header="720" w:footer="720" w:gutter="0"/>
          <w:cols w:space="720" w:num="2" w:equalWidth="0">
            <w:col w:w="3778" w:space="0"/>
            <w:col w:w="6369" w:space="0"/>
            <w:col w:w="4982" w:space="0"/>
            <w:col w:w="5169" w:space="0"/>
            <w:col w:w="10152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294"/>
        <w:ind w:left="378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8"/>
        </w:rPr>
        <w:t>Matthieu Dreher, Swann Perarnau, Tom Peterka, Kamil Iskra, and Pete Beckman</w:t>
      </w:r>
    </w:p>
    <w:p>
      <w:pPr>
        <w:sectPr>
          <w:type w:val="nextColumn"/>
          <w:pgSz w:w="12240" w:h="15840"/>
          <w:pgMar w:top="582" w:right="1024" w:bottom="332" w:left="1068" w:header="720" w:footer="720" w:gutter="0"/>
          <w:cols w:space="720" w:num="2" w:equalWidth="0">
            <w:col w:w="3778" w:space="0"/>
            <w:col w:w="6369" w:space="0"/>
            <w:col w:w="4982" w:space="0"/>
            <w:col w:w="5169" w:space="0"/>
            <w:col w:w="1015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5074"/>
        <w:gridCol w:w="5074"/>
      </w:tblGrid>
      <w:tr>
        <w:trPr>
          <w:trHeight w:hRule="exact" w:val="448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14" w:right="144" w:firstLine="0"/>
              <w:jc w:val="left"/>
            </w:pPr>
            <w:r>
              <w:rPr>
                <w:w w:val="98.67172241210938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help resolve the identified issues, and we focus in particular on new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features of the Argo Exascale Computing Project.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240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through the file system during the startup phase of the workflow,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enabling each task to connect to its dependent tasks.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4"/>
        <w:ind w:left="0" w:right="0"/>
      </w:pPr>
    </w:p>
    <w:p>
      <w:pPr>
        <w:sectPr>
          <w:type w:val="continuous"/>
          <w:pgSz w:w="12240" w:h="15840"/>
          <w:pgMar w:top="582" w:right="1024" w:bottom="332" w:left="1068" w:header="720" w:footer="720" w:gutter="0"/>
          <w:cols w:space="720" w:num="1" w:equalWidth="0">
            <w:col w:w="10148" w:space="0"/>
            <w:col w:w="3778" w:space="0"/>
            <w:col w:w="6369" w:space="0"/>
            <w:col w:w="4982" w:space="0"/>
            <w:col w:w="5169" w:space="0"/>
            <w:col w:w="10152" w:space="0"/>
          </w:cols>
          <w:docGrid w:linePitch="360"/>
        </w:sectPr>
      </w:pPr>
    </w:p>
    <w:p>
      <w:pPr>
        <w:autoSpaceDN w:val="0"/>
        <w:tabs>
          <w:tab w:pos="336" w:val="left"/>
        </w:tabs>
        <w:autoSpaceDE w:val="0"/>
        <w:widowControl/>
        <w:spacing w:line="294" w:lineRule="exact" w:before="0" w:after="0"/>
        <w:ind w:left="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2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RELATED WORK</w:t>
      </w:r>
    </w:p>
    <w:p>
      <w:pPr>
        <w:autoSpaceDN w:val="0"/>
        <w:autoSpaceDE w:val="0"/>
        <w:widowControl/>
        <w:spacing w:line="218" w:lineRule="exact" w:before="30" w:after="0"/>
        <w:ind w:left="6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Building an in situ infrastructure includes making several critical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choices, starting at the execution model.</w:t>
      </w:r>
    </w:p>
    <w:p>
      <w:pPr>
        <w:autoSpaceDN w:val="0"/>
        <w:tabs>
          <w:tab w:pos="502" w:val="left"/>
        </w:tabs>
        <w:autoSpaceDE w:val="0"/>
        <w:widowControl/>
        <w:spacing w:line="292" w:lineRule="exact" w:before="186" w:after="0"/>
        <w:ind w:left="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2.1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Integrated Workflow Infrastructures</w:t>
      </w:r>
    </w:p>
    <w:p>
      <w:pPr>
        <w:autoSpaceDN w:val="0"/>
        <w:autoSpaceDE w:val="0"/>
        <w:widowControl/>
        <w:spacing w:line="220" w:lineRule="exact" w:before="30" w:after="0"/>
        <w:ind w:left="0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Integrated workflow infrastructures include all their tasks within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 single MPI program sharing a global communicator. We distin-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guish two major designs here. The first uses a host code, typically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 simulation code, to run the analysis tasks within its MPI context.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The analysis tasks take the form of a function call or a plugin to be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loaded by the host code. That strategy was widely adopted by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visualization community. Current production visualization tools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Paraview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3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 and VisIt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2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], and their respective in situ libraries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Catalyst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16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 and Libsim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22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], insert rendering servers executed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>synchronously in time partitioning mode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] within the simulation.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The analysis tasks take the form of filters executed by the rendering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server. ADIOS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17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], a flexible I/O interface, enables data transfor-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mations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5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 along the I/O path within the same MPI context as the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>caller. Damaris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10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] adopts a space partitioning strategy. It splits the </w:t>
      </w:r>
      <w:r>
        <w:rPr>
          <w:w w:val="98.72205522325304"/>
          <w:rFonts w:ascii="LinLibertineT" w:hAnsi="LinLibertineT" w:eastAsia="LinLibertineT"/>
          <w:b w:val="0"/>
          <w:i w:val="0"/>
          <w:color w:val="000000"/>
          <w:sz w:val="18"/>
        </w:rPr>
        <w:t>initial MPI communicator of the simulation in two groups, the sim-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ulation processes and the analysis processes, allowing the analysis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task to run asynchronously from the simulation. The data transport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method is selected separately from the tasks in an XML file. Some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transport methods allow in situ computation to be performed in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 same MPI program as the caller [5].</w:t>
      </w:r>
    </w:p>
    <w:p>
      <w:pPr>
        <w:autoSpaceDN w:val="0"/>
        <w:autoSpaceDE w:val="0"/>
        <w:widowControl/>
        <w:spacing w:line="220" w:lineRule="exact" w:before="28" w:after="0"/>
        <w:ind w:left="6" w:right="166" w:firstLine="198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 second design, followed by Swift/T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23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], organizes a pool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of MPI processes as workers. Tasks taking the form of a function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call are then loaded and executed by the runtime. Swift/T uses its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own programming language to describe the workflow graph and </w:t>
      </w:r>
      <w:r>
        <w:rPr>
          <w:w w:val="98.82263607449002"/>
          <w:rFonts w:ascii="LinLibertineT" w:hAnsi="LinLibertineT" w:eastAsia="LinLibertineT"/>
          <w:b w:val="0"/>
          <w:i w:val="0"/>
          <w:color w:val="000000"/>
          <w:sz w:val="18"/>
        </w:rPr>
        <w:t xml:space="preserve">extract parallelism. The runtime can then select precisely where to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execute the tasks.</w:t>
      </w:r>
    </w:p>
    <w:p>
      <w:pPr>
        <w:autoSpaceDN w:val="0"/>
        <w:tabs>
          <w:tab w:pos="502" w:val="left"/>
        </w:tabs>
        <w:autoSpaceDE w:val="0"/>
        <w:widowControl/>
        <w:spacing w:line="292" w:lineRule="exact" w:before="184" w:after="0"/>
        <w:ind w:left="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2.2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Connected Workflow Infrastructure</w:t>
      </w:r>
    </w:p>
    <w:p>
      <w:pPr>
        <w:autoSpaceDN w:val="0"/>
        <w:autoSpaceDE w:val="0"/>
        <w:widowControl/>
        <w:spacing w:line="220" w:lineRule="exact" w:before="30" w:after="0"/>
        <w:ind w:left="6" w:right="158" w:hanging="6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 connected workflow infrastructure coordinates tasks separated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into different programs not sharing a common communicator.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 situ infrastructure must provide mechanisms to connect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tasks and create the appropriate communication channels. These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frameworks rely on dedicated communication libraries to replace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MPI, limiting portability but allowing more dynamic workflow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graphs.</w:t>
      </w:r>
    </w:p>
    <w:p>
      <w:pPr>
        <w:autoSpaceDN w:val="0"/>
        <w:autoSpaceDE w:val="0"/>
        <w:widowControl/>
        <w:spacing w:line="220" w:lineRule="exact" w:before="28" w:after="0"/>
        <w:ind w:left="0" w:right="0" w:firstLine="19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FlowVR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13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 relies on a network of daemons to identify tasks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and coordinate them. Each task requires minor modifications to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connect to the local daemon and exchange messages with the rest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of the application. DataSpaces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7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 acts as a distributed data store.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Applications connect to the server to publish or retrieve indexed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data. The dynamic connections of tasks are managed by DART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servers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8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], which support high-speed interconnects such as In-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finiBand. FlexPath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6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], built on top of EVPath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14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], embeds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connection information of all the tasks so that a new task can join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network and request the necessary connection information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from any task.</w:t>
      </w:r>
    </w:p>
    <w:p>
      <w:pPr>
        <w:autoSpaceDN w:val="0"/>
        <w:autoSpaceDE w:val="0"/>
        <w:widowControl/>
        <w:spacing w:line="220" w:lineRule="exact" w:before="28" w:after="0"/>
        <w:ind w:left="6" w:right="144" w:firstLine="19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Decaf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12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 creates communication channels through MPI or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CCI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4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]. In the case of CCI, the addresses of the tasks are shared</w:t>
      </w:r>
    </w:p>
    <w:p>
      <w:pPr>
        <w:sectPr>
          <w:type w:val="continuous"/>
          <w:pgSz w:w="12240" w:h="15840"/>
          <w:pgMar w:top="582" w:right="1024" w:bottom="332" w:left="1068" w:header="720" w:footer="720" w:gutter="0"/>
          <w:cols w:space="720" w:num="2" w:equalWidth="0">
            <w:col w:w="4978" w:space="0"/>
            <w:col w:w="5169" w:space="0"/>
            <w:col w:w="10148" w:space="0"/>
            <w:col w:w="3778" w:space="0"/>
            <w:col w:w="6369" w:space="0"/>
            <w:col w:w="4982" w:space="0"/>
            <w:col w:w="5169" w:space="0"/>
            <w:col w:w="10152" w:space="0"/>
          </w:cols>
          <w:docGrid w:linePitch="360"/>
        </w:sectPr>
      </w:pPr>
    </w:p>
    <w:p>
      <w:pPr>
        <w:autoSpaceDN w:val="0"/>
        <w:tabs>
          <w:tab w:pos="644" w:val="left"/>
        </w:tabs>
        <w:autoSpaceDE w:val="0"/>
        <w:widowControl/>
        <w:spacing w:line="292" w:lineRule="exact" w:before="0" w:after="0"/>
        <w:ind w:left="314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3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IMPLEMENTATION CHALLENGES</w:t>
      </w:r>
    </w:p>
    <w:p>
      <w:pPr>
        <w:autoSpaceDN w:val="0"/>
        <w:autoSpaceDE w:val="0"/>
        <w:widowControl/>
        <w:spacing w:line="220" w:lineRule="exact" w:before="28" w:after="0"/>
        <w:ind w:left="314" w:right="0" w:hanging="1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When implementing an in situ infrastructure, integrated or con-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nected, the developer must address several key challenges affecting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 performance, portability, and usability of the designed infras-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>tructure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11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]. We highlight in this section some of these challenges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>and trade-offs and discuss how they can influence in situ infrastruc-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ture designs.</w:t>
      </w:r>
    </w:p>
    <w:p>
      <w:pPr>
        <w:autoSpaceDN w:val="0"/>
        <w:autoSpaceDE w:val="0"/>
        <w:widowControl/>
        <w:spacing w:line="218" w:lineRule="exact" w:before="42" w:after="0"/>
        <w:ind w:left="314" w:right="50" w:firstLine="198"/>
        <w:jc w:val="both"/>
      </w:pPr>
      <w:r>
        <w:rPr>
          <w:rFonts w:ascii="LinLibertineTI" w:hAnsi="LinLibertineTI" w:eastAsia="LinLibertineTI"/>
          <w:b w:val="0"/>
          <w:i/>
          <w:color w:val="000000"/>
          <w:sz w:val="18"/>
        </w:rPr>
        <w:t>Addressing Tasks: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To create communication channels between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tasks, the in situ infrastructure must first be able to identify each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task. This addressing mechanism can come from the underlying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communication library (MPI) or from a service provided by the in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situ infrastructure itself (naming servers, URIs).</w:t>
      </w:r>
    </w:p>
    <w:p>
      <w:pPr>
        <w:autoSpaceDN w:val="0"/>
        <w:autoSpaceDE w:val="0"/>
        <w:widowControl/>
        <w:spacing w:line="218" w:lineRule="exact" w:before="40" w:after="0"/>
        <w:ind w:left="314" w:right="0" w:firstLine="198"/>
        <w:jc w:val="left"/>
      </w:pPr>
      <w:r>
        <w:rPr>
          <w:w w:val="98.67172241210938"/>
          <w:rFonts w:ascii="LinLibertineTI" w:hAnsi="LinLibertineTI" w:eastAsia="LinLibertineTI"/>
          <w:b w:val="0"/>
          <w:i/>
          <w:color w:val="000000"/>
          <w:sz w:val="18"/>
        </w:rPr>
        <w:t>Efficient Data Exchanges between Tasks: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 Each individual task may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have its own communication needs. A workflow also creates ad-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ditional communications to exchange data between tasks. These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inter-task communications might generate interferences with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computation tasks, degrading their performance. Consequently, in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>situ infrastructures should provide efficient communication mecha-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nisms in order to minimize their impact on the task performance.</w:t>
      </w:r>
    </w:p>
    <w:p>
      <w:pPr>
        <w:autoSpaceDN w:val="0"/>
        <w:autoSpaceDE w:val="0"/>
        <w:widowControl/>
        <w:spacing w:line="218" w:lineRule="exact" w:before="40" w:after="0"/>
        <w:ind w:left="314" w:right="0" w:firstLine="198"/>
        <w:jc w:val="left"/>
      </w:pPr>
      <w:r>
        <w:rPr>
          <w:rFonts w:ascii="LinLibertineTI" w:hAnsi="LinLibertineTI" w:eastAsia="LinLibertineTI"/>
          <w:b w:val="0"/>
          <w:i/>
          <w:color w:val="000000"/>
          <w:sz w:val="18"/>
        </w:rPr>
        <w:t>User Code Integration: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Scientific codes such as simulations and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analyses can require the expertise of the developers to modify them.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 situ infrastructures often require modifying the user code to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integrate it within the infrastructure. These modifications should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remain as limited as possible in order to ease the integration of user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codes and promote adoption of the infrastructure.</w:t>
      </w:r>
    </w:p>
    <w:p>
      <w:pPr>
        <w:autoSpaceDN w:val="0"/>
        <w:autoSpaceDE w:val="0"/>
        <w:widowControl/>
        <w:spacing w:line="216" w:lineRule="exact" w:before="42" w:after="0"/>
        <w:ind w:left="314" w:right="0" w:firstLine="198"/>
        <w:jc w:val="left"/>
      </w:pPr>
      <w:r>
        <w:rPr>
          <w:w w:val="98.67172241210938"/>
          <w:rFonts w:ascii="LinLibertineTI" w:hAnsi="LinLibertineTI" w:eastAsia="LinLibertineTI"/>
          <w:b w:val="0"/>
          <w:i/>
          <w:color w:val="000000"/>
          <w:sz w:val="18"/>
        </w:rPr>
        <w:t>Task Placement: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 Task placement is performance-critical for large-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scale in situ workflows, particularly for data-intensive applications.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Explicitly managing locality between tasks may deliver the best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performance but is cumbersome and error prone and should be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managed by the infrastructure automatically.</w:t>
      </w:r>
    </w:p>
    <w:p>
      <w:pPr>
        <w:autoSpaceDN w:val="0"/>
        <w:autoSpaceDE w:val="0"/>
        <w:widowControl/>
        <w:spacing w:line="218" w:lineRule="exact" w:before="40" w:after="0"/>
        <w:ind w:left="304" w:right="0" w:firstLine="198"/>
        <w:jc w:val="left"/>
      </w:pPr>
      <w:r>
        <w:rPr>
          <w:rFonts w:ascii="LinLibertineTI" w:hAnsi="LinLibertineTI" w:eastAsia="LinLibertineTI"/>
          <w:b w:val="0"/>
          <w:i/>
          <w:color w:val="000000"/>
          <w:sz w:val="18"/>
        </w:rPr>
        <w:t>Resilience: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In situ workflows may involve multiple tasks run-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ning on large scale supercomputers. The increase of computational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>resources involved in the workflow increases the probability of fail-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ures. Failures can come from multiple sources, for example, crash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of a task, overflow in a communication channel, or failure of a node.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Workflow engines should detect such faults without compromising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rest of the workflow and should apply corrective measures if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possible.</w:t>
      </w:r>
    </w:p>
    <w:p>
      <w:pPr>
        <w:autoSpaceDN w:val="0"/>
        <w:autoSpaceDE w:val="0"/>
        <w:widowControl/>
        <w:spacing w:line="218" w:lineRule="exact" w:before="40" w:after="0"/>
        <w:ind w:left="314" w:right="0" w:firstLine="198"/>
        <w:jc w:val="left"/>
      </w:pPr>
      <w:r>
        <w:rPr>
          <w:rFonts w:ascii="LinLibertineTI" w:hAnsi="LinLibertineTI" w:eastAsia="LinLibertineTI"/>
          <w:b w:val="0"/>
          <w:i/>
          <w:color w:val="000000"/>
          <w:sz w:val="18"/>
        </w:rPr>
        <w:t>Dynamicity: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The graph of the workflow may have to change at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runtime for different reasons: completion of a task, insertion of a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new analysis, or temporary connection of a human to the workflow. </w:t>
      </w:r>
      <w:r>
        <w:rPr>
          <w:w w:val="98.87289471096463"/>
          <w:rFonts w:ascii="LinLibertineT" w:hAnsi="LinLibertineT" w:eastAsia="LinLibertineT"/>
          <w:b w:val="0"/>
          <w:i w:val="0"/>
          <w:color w:val="000000"/>
          <w:sz w:val="18"/>
        </w:rPr>
        <w:t xml:space="preserve">Individual tasks might also require dynamicity in order to increase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or reduce their computational resources, for instance, to reclaim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 resources previously allocated to another task.</w:t>
      </w:r>
    </w:p>
    <w:p>
      <w:pPr>
        <w:autoSpaceDN w:val="0"/>
        <w:autoSpaceDE w:val="0"/>
        <w:widowControl/>
        <w:spacing w:line="218" w:lineRule="exact" w:before="40" w:after="0"/>
        <w:ind w:left="314" w:right="0" w:firstLine="198"/>
        <w:jc w:val="left"/>
      </w:pPr>
      <w:r>
        <w:rPr>
          <w:rFonts w:ascii="LinLibertineTI" w:hAnsi="LinLibertineTI" w:eastAsia="LinLibertineTI"/>
          <w:b w:val="0"/>
          <w:i/>
          <w:color w:val="000000"/>
          <w:sz w:val="18"/>
        </w:rPr>
        <w:t>Portability: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Supercomputers provide a wide range of special-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ized hardware, for example, GPUs, accelerators (Xeon Phi), and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high-performance interconnects such as InfiniBand or Gemini. The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developer must rely on specific libraries and runtimes to obtain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best performance on such hardware. However these libraries are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often developed for a specific hardware and might not be portable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to other platforms. Some libraries such as OpenCL or MPI provide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a generic API supporting a broader spectrum of hardware but with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lower performance than that of specialized libraries.</w:t>
      </w:r>
    </w:p>
    <w:p>
      <w:pPr>
        <w:autoSpaceDN w:val="0"/>
        <w:autoSpaceDE w:val="0"/>
        <w:widowControl/>
        <w:spacing w:line="180" w:lineRule="exact" w:before="858" w:after="0"/>
        <w:ind w:left="134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23</w:t>
      </w:r>
    </w:p>
    <w:p>
      <w:pPr>
        <w:sectPr>
          <w:type w:val="nextColumn"/>
          <w:pgSz w:w="12240" w:h="15840"/>
          <w:pgMar w:top="582" w:right="1024" w:bottom="332" w:left="1068" w:header="720" w:footer="720" w:gutter="0"/>
          <w:cols w:space="720" w:num="2" w:equalWidth="0">
            <w:col w:w="4978" w:space="0"/>
            <w:col w:w="5169" w:space="0"/>
            <w:col w:w="10148" w:space="0"/>
            <w:col w:w="3778" w:space="0"/>
            <w:col w:w="6369" w:space="0"/>
            <w:col w:w="4982" w:space="0"/>
            <w:col w:w="5169" w:space="0"/>
            <w:col w:w="101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sectPr>
          <w:pgSz w:w="12240" w:h="15840"/>
          <w:pgMar w:top="582" w:right="1024" w:bottom="332" w:left="1074" w:header="720" w:footer="720" w:gutter="0"/>
          <w:cols w:space="720" w:num="2" w:equalWidth="0">
            <w:col w:w="4978" w:space="0"/>
            <w:col w:w="5169" w:space="0"/>
            <w:col w:w="10148" w:space="0"/>
            <w:col w:w="3778" w:space="0"/>
            <w:col w:w="6369" w:space="0"/>
            <w:col w:w="4982" w:space="0"/>
            <w:col w:w="5169" w:space="0"/>
            <w:col w:w="10152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214"/>
        <w:ind w:left="0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8"/>
        </w:rPr>
        <w:t>In Situ Workflows at Exascale: System Software to the Rescue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1"/>
        <w:gridCol w:w="5071"/>
      </w:tblGrid>
      <w:tr>
        <w:trPr>
          <w:trHeight w:hRule="exact" w:val="612"/>
        </w:trPr>
        <w:tc>
          <w:tcPr>
            <w:tcW w:type="dxa" w:w="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96" w:after="0"/>
              <w:ind w:left="124" w:right="576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 xml:space="preserve">DESIGN CHOICES FOR CURRENT </w:t>
            </w: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SOLUTIONS AND BEYOND</w:t>
            </w:r>
          </w:p>
        </w:tc>
      </w:tr>
    </w:tbl>
    <w:p>
      <w:pPr>
        <w:autoSpaceDN w:val="0"/>
        <w:autoSpaceDE w:val="0"/>
        <w:widowControl/>
        <w:spacing w:line="220" w:lineRule="exact" w:before="30" w:after="0"/>
        <w:ind w:left="0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Current in situ infrastructures were developed to focus mainly on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performance and scalability. We discuss in this section how these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infrastructures address the other challenges presented in the pre-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ceding section. We also discuss how exascale system characteristics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might shift the design priorities of future in situ infrastructures.</w:t>
      </w:r>
    </w:p>
    <w:p>
      <w:pPr>
        <w:autoSpaceDN w:val="0"/>
        <w:tabs>
          <w:tab w:pos="496" w:val="left"/>
        </w:tabs>
        <w:autoSpaceDE w:val="0"/>
        <w:widowControl/>
        <w:spacing w:line="294" w:lineRule="exact" w:before="174" w:after="0"/>
        <w:ind w:left="0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4.1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Integrated In Situ Infrastructures</w:t>
      </w:r>
    </w:p>
    <w:p>
      <w:pPr>
        <w:autoSpaceDN w:val="0"/>
        <w:autoSpaceDE w:val="0"/>
        <w:widowControl/>
        <w:spacing w:line="220" w:lineRule="exact" w:before="28" w:after="0"/>
        <w:ind w:left="0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Integrated in situ infrastructures host and execute the tasks of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 workflow within a single MPI context. That model provides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several advantages. First, MPI supports a large spectrum of high-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performance interconnects and is available in almost all the super-</w:t>
      </w:r>
      <w:r>
        <w:rPr>
          <w:w w:val="98.9733272128635"/>
          <w:rFonts w:ascii="LinLibertineT" w:hAnsi="LinLibertineT" w:eastAsia="LinLibertineT"/>
          <w:b w:val="0"/>
          <w:i w:val="0"/>
          <w:color w:val="000000"/>
          <w:sz w:val="18"/>
        </w:rPr>
        <w:t xml:space="preserve">computers on the Top500, providing very good portability. Second,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MPI provides an easy mechanism to identify each task (MPI rank)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and to create communication channels (communicators) between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tasks. Third, the runtime has the flexibility to statically (Damaris,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LibSim, Catalyst) or dynamically (Swift) place tasks at runtime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can therefore support different placement strategies. Fourth,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single MPI program model is the standard execution model for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current supercomputer environments, making it easy to execute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on today’s platforms.</w:t>
      </w:r>
    </w:p>
    <w:p>
      <w:pPr>
        <w:autoSpaceDN w:val="0"/>
        <w:autoSpaceDE w:val="0"/>
        <w:widowControl/>
        <w:spacing w:line="220" w:lineRule="exact" w:before="28" w:after="0"/>
        <w:ind w:left="0" w:right="160" w:firstLine="198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Yet the MPI model also has certain disadvantages. Because all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tasks share the same execution context, tasks are implemented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as function calls. In some cases, the base code of one task, typically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simulation, is used to host the remaining tasks converted into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function calls. In other cases, all the tasks must be converted into </w:t>
      </w:r>
      <w:r>
        <w:rPr>
          <w:w w:val="98.82263607449002"/>
          <w:rFonts w:ascii="LinLibertineT" w:hAnsi="LinLibertineT" w:eastAsia="LinLibertineT"/>
          <w:b w:val="0"/>
          <w:i w:val="0"/>
          <w:color w:val="000000"/>
          <w:sz w:val="18"/>
        </w:rPr>
        <w:t xml:space="preserve">functions driven by one main program. That transformation might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require significant code modifications and expertise in the user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code. Additionally, MPI is not resilient to failures: a crash of a single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task within the workflow causes a crash of the entire workflow.</w:t>
      </w:r>
    </w:p>
    <w:p>
      <w:pPr>
        <w:autoSpaceDN w:val="0"/>
        <w:tabs>
          <w:tab w:pos="496" w:val="left"/>
        </w:tabs>
        <w:autoSpaceDE w:val="0"/>
        <w:widowControl/>
        <w:spacing w:line="292" w:lineRule="exact" w:before="174" w:after="0"/>
        <w:ind w:left="0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4.2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Connected In Situ Infrastructures</w:t>
      </w:r>
    </w:p>
    <w:p>
      <w:pPr>
        <w:autoSpaceDN w:val="0"/>
        <w:autoSpaceDE w:val="0"/>
        <w:widowControl/>
        <w:spacing w:line="220" w:lineRule="exact" w:before="28" w:after="0"/>
        <w:ind w:left="0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Connected in situ infrastructures separate tasks in different exe-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cutables. Since tasks no longer share a common MPI context, in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situ infrastructures must replace some functionalities traditionally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handled by MPI. In particular, infrastructures must provide a way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to create communication channels between tasks and distribute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computational resources to each task.</w:t>
      </w:r>
    </w:p>
    <w:p>
      <w:pPr>
        <w:autoSpaceDN w:val="0"/>
        <w:autoSpaceDE w:val="0"/>
        <w:widowControl/>
        <w:spacing w:line="220" w:lineRule="exact" w:before="28" w:after="0"/>
        <w:ind w:left="0" w:right="146" w:firstLine="198"/>
        <w:jc w:val="both"/>
      </w:pP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MPI_Connect would provide an answer to the first challenge, but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its lack of support on current supercomputers necessitates other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communication libraries, coming with their own challenges. First,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communication libraries often provide a mechanism to address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each communication point within the workflow, but it is up to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 situ infrastructure to share the connection information with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relevant tasks. Second, communication libraries such as DART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8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CCI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4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], or Nessie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18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 do not support or are not optimized for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all high-performance interconnects, limiting the portability of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infrastructure.</w:t>
      </w:r>
    </w:p>
    <w:p>
      <w:pPr>
        <w:autoSpaceDN w:val="0"/>
        <w:autoSpaceDE w:val="0"/>
        <w:widowControl/>
        <w:spacing w:line="220" w:lineRule="exact" w:before="28" w:after="0"/>
        <w:ind w:left="0" w:right="0" w:firstLine="19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 situ infrastructures must also deal with resource allocation.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Because the tasks are not in the same execution context, it is more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difficult to distribute the computational resources between the tasks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unless the user provides more information to the infrastructure.</w:t>
      </w:r>
    </w:p>
    <w:p>
      <w:pPr>
        <w:autoSpaceDN w:val="0"/>
        <w:autoSpaceDE w:val="0"/>
        <w:widowControl/>
        <w:spacing w:line="220" w:lineRule="exact" w:before="28" w:after="0"/>
        <w:ind w:left="0" w:right="166" w:firstLine="198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Despite these challenges, the connected mode enables several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key features. First, it allows tasks to join and leave the workflow at </w:t>
      </w:r>
      <w:r>
        <w:rPr>
          <w:w w:val="98.82263607449002"/>
          <w:rFonts w:ascii="LinLibertineT" w:hAnsi="LinLibertineT" w:eastAsia="LinLibertineT"/>
          <w:b w:val="0"/>
          <w:i w:val="0"/>
          <w:color w:val="000000"/>
          <w:sz w:val="18"/>
        </w:rPr>
        <w:t>runtime with their own computational resources. This implies that</w:t>
      </w:r>
    </w:p>
    <w:p>
      <w:pPr>
        <w:sectPr>
          <w:type w:val="continuous"/>
          <w:pgSz w:w="12240" w:h="15840"/>
          <w:pgMar w:top="582" w:right="1024" w:bottom="332" w:left="1074" w:header="720" w:footer="720" w:gutter="0"/>
          <w:cols w:space="720" w:num="2" w:equalWidth="0">
            <w:col w:w="4972" w:space="0"/>
            <w:col w:w="5169" w:space="0"/>
            <w:col w:w="4978" w:space="0"/>
            <w:col w:w="5169" w:space="0"/>
            <w:col w:w="10148" w:space="0"/>
            <w:col w:w="3778" w:space="0"/>
            <w:col w:w="6369" w:space="0"/>
            <w:col w:w="4982" w:space="0"/>
            <w:col w:w="5169" w:space="0"/>
            <w:col w:w="10152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0" w:right="50" w:firstLine="0"/>
        <w:jc w:val="right"/>
      </w:pPr>
      <w:r>
        <w:rPr>
          <w:rFonts w:ascii="LinBiolinumT" w:hAnsi="LinBiolinumT" w:eastAsia="LinBiolinumT"/>
          <w:b w:val="0"/>
          <w:i w:val="0"/>
          <w:color w:val="000000"/>
          <w:sz w:val="18"/>
        </w:rPr>
        <w:t>ISAV’, November 2017, Denver, Colorado, USA</w:t>
      </w:r>
    </w:p>
    <w:p>
      <w:pPr>
        <w:autoSpaceDN w:val="0"/>
        <w:autoSpaceDE w:val="0"/>
        <w:widowControl/>
        <w:spacing w:line="220" w:lineRule="exact" w:before="322" w:after="0"/>
        <w:ind w:left="308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 initial allocation of the workflow might grow or shrink at run-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time and notifies the infrastructure of those changes. Unfortunately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this feature is not supported by current production batch sched-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ulers. Additionally, a connected in situ infrastructure can sustain </w:t>
      </w:r>
      <w:r>
        <w:rPr>
          <w:w w:val="98.9733272128635"/>
          <w:rFonts w:ascii="LinLibertineT" w:hAnsi="LinLibertineT" w:eastAsia="LinLibertineT"/>
          <w:b w:val="0"/>
          <w:i w:val="0"/>
          <w:color w:val="000000"/>
          <w:sz w:val="18"/>
        </w:rPr>
        <w:t xml:space="preserve">the crash of a task without compromising the rest of the workflow.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user can then decide how to act on a task or node failure. For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>instance, EVPath calls a user-provided function to correct the work-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flow upon detection of the crash of a task. Moreover, the connected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mode preserves the original user code and only requires minor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modifications to enable the task to exchange messages with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rest of the application. This simplifies the integration process of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complex codes into the infrastructure.</w:t>
      </w:r>
    </w:p>
    <w:p>
      <w:pPr>
        <w:autoSpaceDN w:val="0"/>
        <w:tabs>
          <w:tab w:pos="810" w:val="left"/>
        </w:tabs>
        <w:autoSpaceDE w:val="0"/>
        <w:widowControl/>
        <w:spacing w:line="294" w:lineRule="exact" w:before="196" w:after="0"/>
        <w:ind w:left="314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4.3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Exascale Is Coming</w:t>
      </w:r>
    </w:p>
    <w:p>
      <w:pPr>
        <w:autoSpaceDN w:val="0"/>
        <w:autoSpaceDE w:val="0"/>
        <w:widowControl/>
        <w:spacing w:line="220" w:lineRule="exact" w:before="28" w:after="0"/>
        <w:ind w:left="314" w:right="0" w:hanging="6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need for performance, the simplicity of the MPI runtime,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 supercomputer environment constraints tend to favor the inte-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grated mode for past and current solutions. Future exascale systems,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however, will bring new constraints and challenges, causing devel-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opers to reconsider some aspects of current solutions.</w:t>
      </w:r>
    </w:p>
    <w:p>
      <w:pPr>
        <w:autoSpaceDN w:val="0"/>
        <w:autoSpaceDE w:val="0"/>
        <w:widowControl/>
        <w:spacing w:line="220" w:lineRule="exact" w:before="28" w:after="0"/>
        <w:ind w:left="314" w:right="0" w:firstLine="198"/>
        <w:jc w:val="left"/>
      </w:pP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First, the projected mean time to failure will decrease by a factor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of 10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9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]. Individual tasks already provide a response to failures in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some cases. However, this rate of failure will also compel in situ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infrastructures to respond to these failures and adjust the work-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flow graph accordingly. Second, the number of cores per node will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increase dramatically, and deeper memory hierarchies will make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efficient placement of tasks more difficult. If tasks share a node,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proper mechanisms for performance isolation will be required for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both compute and memory. Third, we expect human-in-the-loop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interactions to become more prevalent. Consequently the infras-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tructures will have to dynamically readjust the workflow graph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and the distribution of its resources at runtime.</w:t>
      </w:r>
    </w:p>
    <w:p>
      <w:pPr>
        <w:autoSpaceDN w:val="0"/>
        <w:autoSpaceDE w:val="0"/>
        <w:widowControl/>
        <w:spacing w:line="220" w:lineRule="exact" w:before="28" w:after="0"/>
        <w:ind w:left="306" w:right="0" w:firstLine="19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Connected workflows will be better tailored to face these new </w:t>
      </w:r>
      <w:r>
        <w:rPr>
          <w:w w:val="98.67172241210938"/>
          <w:rFonts w:ascii="LinLibertineT" w:hAnsi="LinLibertineT" w:eastAsia="LinLibertineT"/>
          <w:b w:val="0"/>
          <w:i w:val="0"/>
          <w:color w:val="000000"/>
          <w:sz w:val="18"/>
        </w:rPr>
        <w:t xml:space="preserve">challenges. However, current supercomputer environments are not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well suited for these infrastructures as they are more oriented to-</w:t>
      </w:r>
      <w:r>
        <w:rPr>
          <w:w w:val="98.72205522325304"/>
          <w:rFonts w:ascii="LinLibertineT" w:hAnsi="LinLibertineT" w:eastAsia="LinLibertineT"/>
          <w:b w:val="0"/>
          <w:i w:val="0"/>
          <w:color w:val="000000"/>
          <w:sz w:val="18"/>
        </w:rPr>
        <w:t xml:space="preserve">ward integrated execution models. Yet these environments are also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evolving to better support exascale systems and their workloads. </w:t>
      </w:r>
      <w:r>
        <w:rPr>
          <w:w w:val="98.87289471096463"/>
          <w:rFonts w:ascii="LinLibertineT" w:hAnsi="LinLibertineT" w:eastAsia="LinLibertineT"/>
          <w:b w:val="0"/>
          <w:i w:val="0"/>
          <w:color w:val="000000"/>
          <w:sz w:val="18"/>
        </w:rPr>
        <w:t xml:space="preserve">For example, Argo, a system software Exascale Computing Project,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is working on several features to bridge that gap.</w:t>
      </w:r>
    </w:p>
    <w:p>
      <w:pPr>
        <w:autoSpaceDN w:val="0"/>
        <w:tabs>
          <w:tab w:pos="644" w:val="left"/>
        </w:tabs>
        <w:autoSpaceDE w:val="0"/>
        <w:widowControl/>
        <w:spacing w:line="260" w:lineRule="exact" w:before="228" w:after="0"/>
        <w:ind w:left="314" w:right="1008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5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HELP FROM THE SYSTEM-LEVEL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SOFTWARE</w:t>
      </w:r>
    </w:p>
    <w:p>
      <w:pPr>
        <w:autoSpaceDN w:val="0"/>
        <w:autoSpaceDE w:val="0"/>
        <w:widowControl/>
        <w:spacing w:line="220" w:lineRule="exact" w:before="28" w:after="0"/>
        <w:ind w:left="314" w:right="50" w:hanging="6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issues identified in the preceding sections indicate a lack of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flexibility of the current HPC software stack, in particular from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system software needed by in situ workflow infrastructures.</w:t>
      </w:r>
    </w:p>
    <w:p>
      <w:pPr>
        <w:autoSpaceDN w:val="0"/>
        <w:autoSpaceDE w:val="0"/>
        <w:widowControl/>
        <w:spacing w:line="220" w:lineRule="exact" w:before="28" w:after="0"/>
        <w:ind w:left="306" w:right="50" w:firstLine="198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From a system software perspective, this lack of flexibility is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due to a lack of advanced resource management mechanisms that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would enable users and runtimes to build the right management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policies. We define resource management here as the handling of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 following issues.</w:t>
      </w:r>
    </w:p>
    <w:p>
      <w:pPr>
        <w:autoSpaceDN w:val="0"/>
        <w:autoSpaceDE w:val="0"/>
        <w:widowControl/>
        <w:spacing w:line="218" w:lineRule="exact" w:before="40" w:after="0"/>
        <w:ind w:left="306" w:right="0" w:firstLine="198"/>
        <w:jc w:val="left"/>
      </w:pPr>
      <w:r>
        <w:rPr>
          <w:rFonts w:ascii="LinLibertineTI" w:hAnsi="LinLibertineTI" w:eastAsia="LinLibertineTI"/>
          <w:b w:val="0"/>
          <w:i/>
          <w:color w:val="000000"/>
          <w:sz w:val="18"/>
        </w:rPr>
        <w:t>Dynamicity: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If we expect job allocations to be able to shrink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and expand depending on several factors, including current power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budget, node failures, and workload changes, then user-level soft-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ware should be notified of these changes and be able to act on </w:t>
      </w:r>
      <w:r>
        <w:rPr>
          <w:w w:val="98.9733272128635"/>
          <w:rFonts w:ascii="LinLibertineT" w:hAnsi="LinLibertineT" w:eastAsia="LinLibertineT"/>
          <w:b w:val="0"/>
          <w:i w:val="0"/>
          <w:color w:val="000000"/>
          <w:sz w:val="18"/>
        </w:rPr>
        <w:t xml:space="preserve">them. This goes both ways: user-level software should also be able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to communicate to the system software changes in its resource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requirements.</w:t>
      </w:r>
    </w:p>
    <w:p>
      <w:pPr>
        <w:autoSpaceDN w:val="0"/>
        <w:autoSpaceDE w:val="0"/>
        <w:widowControl/>
        <w:spacing w:line="180" w:lineRule="exact" w:before="818" w:after="0"/>
        <w:ind w:left="134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24</w:t>
      </w:r>
    </w:p>
    <w:p>
      <w:pPr>
        <w:sectPr>
          <w:type w:val="nextColumn"/>
          <w:pgSz w:w="12240" w:h="15840"/>
          <w:pgMar w:top="582" w:right="1024" w:bottom="332" w:left="1074" w:header="720" w:footer="720" w:gutter="0"/>
          <w:cols w:space="720" w:num="2" w:equalWidth="0">
            <w:col w:w="4972" w:space="0"/>
            <w:col w:w="5169" w:space="0"/>
            <w:col w:w="4978" w:space="0"/>
            <w:col w:w="5169" w:space="0"/>
            <w:col w:w="10148" w:space="0"/>
            <w:col w:w="3778" w:space="0"/>
            <w:col w:w="6369" w:space="0"/>
            <w:col w:w="4982" w:space="0"/>
            <w:col w:w="5169" w:space="0"/>
            <w:col w:w="101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sectPr>
          <w:pgSz w:w="12240" w:h="15840"/>
          <w:pgMar w:top="582" w:right="1024" w:bottom="332" w:left="1066" w:header="720" w:footer="720" w:gutter="0"/>
          <w:cols w:space="720" w:num="2" w:equalWidth="0">
            <w:col w:w="4972" w:space="0"/>
            <w:col w:w="5169" w:space="0"/>
            <w:col w:w="4978" w:space="0"/>
            <w:col w:w="5169" w:space="0"/>
            <w:col w:w="10148" w:space="0"/>
            <w:col w:w="3778" w:space="0"/>
            <w:col w:w="6369" w:space="0"/>
            <w:col w:w="4982" w:space="0"/>
            <w:col w:w="5169" w:space="0"/>
            <w:col w:w="10152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8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8"/>
        </w:rPr>
        <w:t>ISAV’, November 2017, Denver, Colorado, USA</w:t>
      </w:r>
    </w:p>
    <w:p>
      <w:pPr>
        <w:sectPr>
          <w:type w:val="continuous"/>
          <w:pgSz w:w="12240" w:h="15840"/>
          <w:pgMar w:top="582" w:right="1024" w:bottom="332" w:left="1066" w:header="720" w:footer="720" w:gutter="0"/>
          <w:cols w:space="720" w:num="2" w:equalWidth="0">
            <w:col w:w="3780" w:space="0"/>
            <w:col w:w="6369" w:space="0"/>
            <w:col w:w="4972" w:space="0"/>
            <w:col w:w="5169" w:space="0"/>
            <w:col w:w="4978" w:space="0"/>
            <w:col w:w="5169" w:space="0"/>
            <w:col w:w="10148" w:space="0"/>
            <w:col w:w="3778" w:space="0"/>
            <w:col w:w="6369" w:space="0"/>
            <w:col w:w="4982" w:space="0"/>
            <w:col w:w="5169" w:space="0"/>
            <w:col w:w="10152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274"/>
        <w:ind w:left="378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8"/>
        </w:rPr>
        <w:t>Matthieu Dreher, Swann Perarnau, Tom Peterka, Kamil Iskra, and Pete Beckman</w:t>
      </w:r>
    </w:p>
    <w:p>
      <w:pPr>
        <w:sectPr>
          <w:type w:val="nextColumn"/>
          <w:pgSz w:w="12240" w:h="15840"/>
          <w:pgMar w:top="582" w:right="1024" w:bottom="332" w:left="1066" w:header="720" w:footer="720" w:gutter="0"/>
          <w:cols w:space="720" w:num="2" w:equalWidth="0">
            <w:col w:w="3780" w:space="0"/>
            <w:col w:w="6369" w:space="0"/>
            <w:col w:w="4972" w:space="0"/>
            <w:col w:w="5169" w:space="0"/>
            <w:col w:w="4978" w:space="0"/>
            <w:col w:w="5169" w:space="0"/>
            <w:col w:w="10148" w:space="0"/>
            <w:col w:w="3778" w:space="0"/>
            <w:col w:w="6369" w:space="0"/>
            <w:col w:w="4982" w:space="0"/>
            <w:col w:w="5169" w:space="0"/>
            <w:col w:w="1015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37"/>
        <w:gridCol w:w="2537"/>
        <w:gridCol w:w="2537"/>
        <w:gridCol w:w="2537"/>
      </w:tblGrid>
      <w:tr>
        <w:trPr>
          <w:trHeight w:hRule="exact" w:val="552"/>
        </w:trPr>
        <w:tc>
          <w:tcPr>
            <w:tcW w:type="dxa" w:w="505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0" w:after="0"/>
              <w:ind w:left="8" w:right="144" w:firstLine="198"/>
              <w:jc w:val="left"/>
            </w:pPr>
            <w:r>
              <w:rPr>
                <w:rFonts w:ascii="LinLibertineTI" w:hAnsi="LinLibertineTI" w:eastAsia="LinLibertineTI"/>
                <w:b w:val="0"/>
                <w:i/>
                <w:color w:val="000000"/>
                <w:sz w:val="18"/>
              </w:rPr>
              <w:t>Node-level management: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If a workflow supports multiple tasks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on the same node or requires additional node services, then users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should be able to partition the node resources among the current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processes while taking into account the topology and hardware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features of the node. This partitioning should also provide perfor-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mance isolation between tasks.</w:t>
            </w:r>
          </w:p>
          <w:p>
            <w:pPr>
              <w:autoSpaceDN w:val="0"/>
              <w:autoSpaceDE w:val="0"/>
              <w:widowControl/>
              <w:spacing w:line="216" w:lineRule="exact" w:before="42" w:after="0"/>
              <w:ind w:left="8" w:right="144" w:firstLine="198"/>
              <w:jc w:val="left"/>
            </w:pPr>
            <w:r>
              <w:rPr>
                <w:w w:val="98.67172241210938"/>
                <w:rFonts w:ascii="LinLibertineTI" w:hAnsi="LinLibertineTI" w:eastAsia="LinLibertineTI"/>
                <w:b w:val="0"/>
                <w:i/>
                <w:color w:val="000000"/>
                <w:sz w:val="18"/>
              </w:rPr>
              <w:t>Job-level management:</w:t>
            </w:r>
            <w:r>
              <w:rPr>
                <w:w w:val="98.67172241210938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Regardless of their execution model, work-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flows will have to configure and manage multiple types of tasks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inside the same job, with possibly different configurations and dif-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ferent types of processes on subgroups of nodes.</w:t>
            </w:r>
          </w:p>
          <w:p>
            <w:pPr>
              <w:autoSpaceDN w:val="0"/>
              <w:autoSpaceDE w:val="0"/>
              <w:widowControl/>
              <w:spacing w:line="220" w:lineRule="exact" w:before="218" w:after="0"/>
              <w:ind w:left="8" w:right="144" w:firstLine="198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Argo [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19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] is aimed at providing such advanced resource man-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agement services and making them directly available to users and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runtimes. We describe here two of its components that will help </w:t>
            </w:r>
            <w:r>
              <w:rPr>
                <w:w w:val="98.8728947109646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future in situ workflows systems deal with those resource manage-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ment issues.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24" w:firstLine="0"/>
              <w:jc w:val="righ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5.2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6" w:after="0"/>
              <w:ind w:left="196" w:right="864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 xml:space="preserve">Control Bus for Job-Level Resource </w:t>
            </w: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Management</w:t>
            </w:r>
          </w:p>
        </w:tc>
      </w:tr>
      <w:tr>
        <w:trPr>
          <w:trHeight w:hRule="exact" w:val="320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240" w:right="0" w:hanging="6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The Argo GlobalOS [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20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] is a set of user-facing distributed services </w:t>
            </w:r>
            <w:r>
              <w:rPr>
                <w:w w:val="98.67172241210938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that can be deployed inside job allocations or as part of the produc-</w:t>
            </w:r>
            <w:r>
              <w:rPr>
                <w:w w:val="98.67172241210938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tion infrastructure to control and monitor the resources available. It </w:t>
            </w:r>
            <w:r>
              <w:rPr>
                <w:w w:val="98.67172241210938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is based on the concept of</w:t>
            </w:r>
            <w:r>
              <w:rPr>
                <w:w w:val="98.67172241210938"/>
                <w:rFonts w:ascii="LinLibertineTI" w:hAnsi="LinLibertineTI" w:eastAsia="LinLibertineTI"/>
                <w:b w:val="0"/>
                <w:i/>
                <w:color w:val="000000"/>
                <w:sz w:val="18"/>
              </w:rPr>
              <w:t xml:space="preserve"> enclaves</w:t>
            </w:r>
            <w:r>
              <w:rPr>
                <w:w w:val="98.67172241210938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: groups of resources that behave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and can be controlled as a single entity.</w:t>
            </w:r>
          </w:p>
          <w:p>
            <w:pPr>
              <w:autoSpaceDN w:val="0"/>
              <w:autoSpaceDE w:val="0"/>
              <w:widowControl/>
              <w:spacing w:line="220" w:lineRule="exact" w:before="28" w:after="0"/>
              <w:ind w:left="232" w:right="0" w:firstLine="198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As one of its core services, the GlobalOS provides a component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called the</w:t>
            </w:r>
            <w:r>
              <w:rPr>
                <w:rFonts w:ascii="LinLibertineTI" w:hAnsi="LinLibertineTI" w:eastAsia="LinLibertineTI"/>
                <w:b w:val="0"/>
                <w:i/>
                <w:color w:val="000000"/>
                <w:sz w:val="18"/>
              </w:rPr>
              <w:t xml:space="preserve"> control bus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. This control infrastructure provides an API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to partition a job into a hierarchy of enclaves and enables each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enclave to execute distinct programs or be configured differently.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This allows a native support for connected workflows, with each </w:t>
            </w:r>
            <w:r>
              <w:rPr>
                <w:w w:val="98.67172241210938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task living in a separate enclave. The control bus also enables the in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situ infrastructure to register callbacks on resource events. Those </w:t>
            </w:r>
            <w:r>
              <w:rPr>
                <w:w w:val="98.67172241210938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callbacks will trigger for example when resource allocations shrink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or expend. This allows in situ infrastructure to insert a new task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or remove a finished one with their associated resources without </w:t>
            </w:r>
            <w:r>
              <w:rPr>
                <w:w w:val="98.67172241210938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having to modify the resource allocation of the other running tasks.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Additionally, the in situ infrastructure can use the control bus to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communicate directly with the underlying batch scheduler, to trig-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ger those resource changes itself, using its internal knowledge of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the current and future resource requirements of the workflow. For </w:t>
            </w:r>
            <w:r>
              <w:rPr>
                <w:w w:val="98.67172241210938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instance, in a human-in-the-loop scheme, this allows users to spawn </w:t>
            </w:r>
            <w:r>
              <w:rPr>
                <w:w w:val="98.67172241210938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new tasks and let the workflow infrastructure request the necessary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resources automatically.</w:t>
            </w:r>
          </w:p>
          <w:p>
            <w:pPr>
              <w:autoSpaceDN w:val="0"/>
              <w:autoSpaceDE w:val="0"/>
              <w:widowControl/>
              <w:spacing w:line="220" w:lineRule="exact" w:before="26" w:after="0"/>
              <w:ind w:left="240" w:right="0" w:firstLine="198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This infrastructure can thus be used by in situ workflow man-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agers to perform space-partitioning or to launch different MPI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subjobs. Using the control bus, one can also implement a naming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service to communicate connection information between different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subjobs and connect them back together. This strategy can replace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file-based address exchanges, like in the case of Decaf with CCI.</w:t>
            </w:r>
          </w:p>
          <w:p>
            <w:pPr>
              <w:autoSpaceDN w:val="0"/>
              <w:autoSpaceDE w:val="0"/>
              <w:widowControl/>
              <w:spacing w:line="220" w:lineRule="exact" w:before="28" w:after="0"/>
              <w:ind w:left="240" w:right="30" w:firstLine="198"/>
              <w:jc w:val="both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Callbacks can also be registered with the control bus to trigger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on failure events. The in situ infrastructure can then act on those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events and implement fault recovery schemes. For example, failed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tasks can be restarted on other resources or simply removed from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the workflow. Alternatively, the in situ infrastructure can ask for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additional resources to replace the failed ones.</w:t>
            </w:r>
          </w:p>
        </w:tc>
      </w:tr>
      <w:tr>
        <w:trPr>
          <w:trHeight w:hRule="exact" w:val="520"/>
        </w:trPr>
        <w:tc>
          <w:tcPr>
            <w:tcW w:type="dxa" w:w="3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28" w:after="0"/>
              <w:ind w:left="8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5.1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28" w:after="0"/>
              <w:ind w:left="110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Containers for Node Resource Management</w:t>
            </w:r>
          </w:p>
        </w:tc>
        <w:tc>
          <w:tcPr>
            <w:tcW w:type="dxa" w:w="5074"/>
            <w:gridSpan w:val="2"/>
            <w:vMerge/>
            <w:tcBorders/>
          </w:tcPr>
          <w:p/>
        </w:tc>
      </w:tr>
      <w:tr>
        <w:trPr>
          <w:trHeight w:hRule="exact" w:val="4100"/>
        </w:trPr>
        <w:tc>
          <w:tcPr>
            <w:tcW w:type="dxa" w:w="505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8" w:right="144" w:hanging="6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The Argo NodeOS [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21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] is a set of extensions on top of the Linux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operating system to provide resource partitioning mechanisms at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the node level to HPC applications. It is designed around the idea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of</w:t>
            </w:r>
            <w:r>
              <w:rPr>
                <w:rFonts w:ascii="LinLibertineTI" w:hAnsi="LinLibertineTI" w:eastAsia="LinLibertineTI"/>
                <w:b w:val="0"/>
                <w:i/>
                <w:color w:val="000000"/>
                <w:sz w:val="18"/>
              </w:rPr>
              <w:t xml:space="preserve"> compute containers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: a partition of the available resources where </w:t>
            </w:r>
            <w:r>
              <w:rPr>
                <w:w w:val="98.92312155829536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users can execute arbitrary commands, providing performance iso-</w:t>
            </w:r>
            <w:r>
              <w:rPr>
                <w:w w:val="98.67172241210938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lation from the rest of the processes. The operating system processes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can be isolated in their own container, reducing the noise on the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system. Furthermore, users can describe the resource requirement </w:t>
            </w:r>
            <w:r>
              <w:rPr>
                <w:w w:val="98.9733272128635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of a container in a declarative manner (e.g., this container requires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4 cores and 1 GiB of memory), and a system service called</w:t>
            </w:r>
            <w:r>
              <w:rPr>
                <w:rFonts w:ascii="LinLibertineTI" w:hAnsi="LinLibertineTI" w:eastAsia="LinLibertineTI"/>
                <w:b w:val="0"/>
                <w:i/>
                <w:color w:val="000000"/>
                <w:sz w:val="18"/>
              </w:rPr>
              <w:t xml:space="preserve"> node </w:t>
            </w:r>
            <w:r>
              <w:rPr>
                <w:rFonts w:ascii="LinLibertineTI" w:hAnsi="LinLibertineTI" w:eastAsia="LinLibertineTI"/>
                <w:b w:val="0"/>
                <w:i/>
                <w:color w:val="000000"/>
                <w:sz w:val="18"/>
              </w:rPr>
              <w:t>resource manager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will find a good partition for it.</w:t>
            </w:r>
          </w:p>
          <w:p>
            <w:pPr>
              <w:autoSpaceDN w:val="0"/>
              <w:autoSpaceDE w:val="0"/>
              <w:widowControl/>
              <w:spacing w:line="220" w:lineRule="exact" w:before="28" w:after="0"/>
              <w:ind w:left="8" w:right="144" w:firstLine="198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The node resource manager also provides a local API to appli-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cations that can register themselves with the resource manager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to be notified of changes on the node. For example, if the power </w:t>
            </w:r>
            <w:r>
              <w:rPr>
                <w:w w:val="98.8728947109646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budget of the node changes for administrative reasons, a workflow </w:t>
            </w:r>
            <w:r>
              <w:rPr>
                <w:w w:val="98.67172241210938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manager could react to this information by decreasing or increasing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its workload [15].</w:t>
            </w:r>
          </w:p>
          <w:p>
            <w:pPr>
              <w:autoSpaceDN w:val="0"/>
              <w:autoSpaceDE w:val="0"/>
              <w:widowControl/>
              <w:spacing w:line="220" w:lineRule="exact" w:before="28" w:after="0"/>
              <w:ind w:left="0" w:right="228" w:firstLine="198"/>
              <w:jc w:val="both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We recently showcased how these compute containers can be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used for performance isolation with in situ workflows [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21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]. In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this setup, a molecular dynamics simulation (Gromacs) is coupled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with an in situ visualization component (isosurface extraction)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using a connected in situ middleware (FlowVR). Data exchanges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between modules are performed by using a shared-memory space </w:t>
            </w:r>
            <w:r>
              <w:rPr>
                <w:w w:val="98.67172241210938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managed by the FlowVR daemon hosted on each node. The daemon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is heavily multithreaded, consisting of four internal threads plus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a thread for each module running on the node; none of them are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computationally intensive.</w:t>
            </w:r>
          </w:p>
          <w:p>
            <w:pPr>
              <w:autoSpaceDN w:val="0"/>
              <w:autoSpaceDE w:val="0"/>
              <w:widowControl/>
              <w:spacing w:line="220" w:lineRule="exact" w:before="28" w:after="0"/>
              <w:ind w:left="0" w:right="144" w:firstLine="198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Correct placement of application processes on the node is crit-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ical to obtaining optimal performance. The five in situ analytics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processes together require at most 20% of the CPU cycles of a sin-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gle core, but they must be kept apart from the Gromacs processes,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which are highly sensitive to perturbations. Using compute con-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tainers, these different components sharing node resources can be </w:t>
            </w:r>
            <w:r>
              <w:rPr>
                <w:w w:val="98.67172241210938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isolated from each other easily, with the same performance as with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a tedious manual placement. Instead, we can just declare the re-</w:t>
            </w:r>
            <w:r>
              <w:rPr>
                <w:w w:val="98.67172241210938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source requirements of each component and have the node resource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manager deal with partitioning.</w:t>
            </w:r>
          </w:p>
        </w:tc>
        <w:tc>
          <w:tcPr>
            <w:tcW w:type="dxa" w:w="5074"/>
            <w:gridSpan w:val="2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6" w:after="0"/>
              <w:ind w:left="0" w:right="24" w:firstLine="0"/>
              <w:jc w:val="righ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5.3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6" w:after="0"/>
              <w:ind w:left="196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Portability of Argo</w:t>
            </w:r>
          </w:p>
        </w:tc>
      </w:tr>
      <w:tr>
        <w:trPr>
          <w:trHeight w:hRule="exact" w:val="2120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8" w:val="left"/>
              </w:tabs>
              <w:autoSpaceDE w:val="0"/>
              <w:widowControl/>
              <w:spacing w:line="220" w:lineRule="exact" w:before="28" w:after="0"/>
              <w:ind w:left="230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While some of the features of Argo require changes in the pro-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duction infrastructure (e.g., a different Linux kernel), the features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relevant to in situ workflows discussed here are all in userspace.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As such, they are intended to be portable to as many production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systems as possible and can be deployed by users themselves. </w:t>
            </w:r>
            <w:r>
              <w:tab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By providing these new system-level features, we hope to sim-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plify the implementation of connected workflows and allow users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more flexibility in managing their allocations on production ma-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chines.</w:t>
            </w:r>
          </w:p>
        </w:tc>
      </w:tr>
      <w:tr>
        <w:trPr>
          <w:trHeight w:hRule="exact" w:val="438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4" w:after="0"/>
              <w:ind w:left="0" w:right="0" w:firstLine="0"/>
              <w:jc w:val="center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4" w:after="0"/>
              <w:ind w:left="30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ACKNOWLEDGMENT</w:t>
            </w:r>
          </w:p>
        </w:tc>
      </w:tr>
      <w:tr>
        <w:trPr>
          <w:trHeight w:hRule="exact" w:val="1186"/>
        </w:trPr>
        <w:tc>
          <w:tcPr>
            <w:tcW w:type="dxa" w:w="5074"/>
            <w:gridSpan w:val="2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144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Part of this work was supported by Advanced Scientific Comput-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ing Research, Office of Science, U.S. Department of Energy, under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Contract DE-AC02-06CH11357, program manager Lucy Nowell.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Other part of this work was supported by the Exascale Computing </w:t>
            </w:r>
            <w:r>
              <w:rPr>
                <w:w w:val="98.67172241210938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Project (17-SC-20-SC), a collaborative effort of the U.S. Department</w:t>
            </w:r>
          </w:p>
        </w:tc>
      </w:tr>
    </w:tbl>
    <w:p>
      <w:pPr>
        <w:autoSpaceDN w:val="0"/>
        <w:autoSpaceDE w:val="0"/>
        <w:widowControl/>
        <w:spacing w:line="180" w:lineRule="exact" w:before="790" w:after="0"/>
        <w:ind w:left="0" w:right="4852" w:firstLine="0"/>
        <w:jc w:val="right"/>
      </w:pPr>
      <w:r>
        <w:rPr>
          <w:rFonts w:ascii="CMR9" w:hAnsi="CMR9" w:eastAsia="CMR9"/>
          <w:b w:val="0"/>
          <w:i w:val="0"/>
          <w:color w:val="000000"/>
          <w:sz w:val="18"/>
        </w:rPr>
        <w:t>25</w:t>
      </w:r>
    </w:p>
    <w:p>
      <w:pPr>
        <w:sectPr>
          <w:type w:val="continuous"/>
          <w:pgSz w:w="12240" w:h="15840"/>
          <w:pgMar w:top="582" w:right="1024" w:bottom="332" w:left="1066" w:header="720" w:footer="720" w:gutter="0"/>
          <w:cols w:space="720" w:num="1" w:equalWidth="0">
            <w:col w:w="10149" w:space="0"/>
            <w:col w:w="3780" w:space="0"/>
            <w:col w:w="6369" w:space="0"/>
            <w:col w:w="4972" w:space="0"/>
            <w:col w:w="5169" w:space="0"/>
            <w:col w:w="4978" w:space="0"/>
            <w:col w:w="5169" w:space="0"/>
            <w:col w:w="10148" w:space="0"/>
            <w:col w:w="3778" w:space="0"/>
            <w:col w:w="6369" w:space="0"/>
            <w:col w:w="4982" w:space="0"/>
            <w:col w:w="5169" w:space="0"/>
            <w:col w:w="101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sectPr>
          <w:pgSz w:w="12240" w:h="15840"/>
          <w:pgMar w:top="582" w:right="1032" w:bottom="332" w:left="1074" w:header="720" w:footer="720" w:gutter="0"/>
          <w:cols w:space="720" w:num="1" w:equalWidth="0">
            <w:col w:w="10149" w:space="0"/>
            <w:col w:w="3780" w:space="0"/>
            <w:col w:w="6369" w:space="0"/>
            <w:col w:w="4972" w:space="0"/>
            <w:col w:w="5169" w:space="0"/>
            <w:col w:w="4978" w:space="0"/>
            <w:col w:w="5169" w:space="0"/>
            <w:col w:w="10148" w:space="0"/>
            <w:col w:w="3778" w:space="0"/>
            <w:col w:w="6369" w:space="0"/>
            <w:col w:w="4982" w:space="0"/>
            <w:col w:w="5169" w:space="0"/>
            <w:col w:w="10152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0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8"/>
        </w:rPr>
        <w:t>In Situ Workflows at Exascale: System Software to the Rescue</w:t>
      </w:r>
    </w:p>
    <w:p>
      <w:pPr>
        <w:autoSpaceDN w:val="0"/>
        <w:autoSpaceDE w:val="0"/>
        <w:widowControl/>
        <w:spacing w:line="220" w:lineRule="exact" w:before="322" w:after="0"/>
        <w:ind w:left="0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of Energy Office of Science and the National Nuclear Security Ad-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ministration.</w:t>
      </w:r>
    </w:p>
    <w:p>
      <w:pPr>
        <w:autoSpaceDN w:val="0"/>
        <w:tabs>
          <w:tab w:pos="64" w:val="left"/>
          <w:tab w:pos="308" w:val="left"/>
          <w:tab w:pos="1130" w:val="left"/>
          <w:tab w:pos="1522" w:val="left"/>
          <w:tab w:pos="1806" w:val="left"/>
          <w:tab w:pos="2200" w:val="left"/>
          <w:tab w:pos="3112" w:val="left"/>
          <w:tab w:pos="4078" w:val="left"/>
          <w:tab w:pos="4490" w:val="left"/>
        </w:tabs>
        <w:autoSpaceDE w:val="0"/>
        <w:widowControl/>
        <w:spacing w:line="180" w:lineRule="exact" w:before="426" w:after="0"/>
        <w:ind w:left="0" w:right="144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REFERENCES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[1]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2016.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In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Situ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Terminology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Project.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(Feb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2016).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https://ix.cs.uoregon.edu/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˜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hank/insituterminology/index.cgi?n=Phase1B.</w:t>
      </w:r>
    </w:p>
    <w:p>
      <w:pPr>
        <w:autoSpaceDN w:val="0"/>
        <w:autoSpaceDE w:val="0"/>
        <w:widowControl/>
        <w:spacing w:line="192" w:lineRule="exact" w:before="0" w:after="0"/>
        <w:ind w:left="308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Phase1BProposedInSituCategorizations.</w:t>
      </w:r>
    </w:p>
    <w:p>
      <w:pPr>
        <w:autoSpaceDN w:val="0"/>
        <w:autoSpaceDE w:val="0"/>
        <w:widowControl/>
        <w:spacing w:line="164" w:lineRule="exact" w:before="30" w:after="0"/>
        <w:ind w:left="308" w:right="150" w:hanging="244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[2]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Sean Ahern, Eric Brugger, Brad Whitlock, Jeremy S Meredith, Kathleen Biagas,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Mark C Miller, and Hank Childs. 2013. VisIt: Experiences with Sustainable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Software.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arXiv preprint arXiv:1309.1796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(2013).</w:t>
      </w:r>
    </w:p>
    <w:p>
      <w:pPr>
        <w:autoSpaceDN w:val="0"/>
        <w:tabs>
          <w:tab w:pos="308" w:val="left"/>
        </w:tabs>
        <w:autoSpaceDE w:val="0"/>
        <w:widowControl/>
        <w:spacing w:line="168" w:lineRule="exact" w:before="24" w:after="0"/>
        <w:ind w:left="6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[3]</w:t>
      </w:r>
      <w:r>
        <w:rPr>
          <w:w w:val="98.67078917367118"/>
          <w:rFonts w:ascii="LinLibertineT" w:hAnsi="LinLibertineT" w:eastAsia="LinLibertineT"/>
          <w:b w:val="0"/>
          <w:i w:val="0"/>
          <w:color w:val="000000"/>
          <w:sz w:val="14"/>
        </w:rPr>
        <w:t xml:space="preserve"> James Ahrens, Berk Geveci, and Charles Law. 2005. ParaView: An End-User Tool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for Large-Data Visualization.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The Visualization Handbook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(2005), 717.</w:t>
      </w:r>
    </w:p>
    <w:p>
      <w:pPr>
        <w:autoSpaceDN w:val="0"/>
        <w:autoSpaceDE w:val="0"/>
        <w:widowControl/>
        <w:spacing w:line="162" w:lineRule="exact" w:before="32" w:after="0"/>
        <w:ind w:left="308" w:right="150" w:hanging="244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[4]</w:t>
      </w:r>
      <w:r>
        <w:rPr>
          <w:w w:val="98.67078917367118"/>
          <w:rFonts w:ascii="LinLibertineT" w:hAnsi="LinLibertineT" w:eastAsia="LinLibertineT"/>
          <w:b w:val="0"/>
          <w:i w:val="0"/>
          <w:color w:val="000000"/>
          <w:sz w:val="14"/>
        </w:rPr>
        <w:t xml:space="preserve"> Scott Atchley, David Dillow, Galen Shipman, Patrick Geoffray, Jeffrey M Squyres, </w:t>
      </w:r>
      <w:r>
        <w:rPr>
          <w:w w:val="98.67078917367118"/>
          <w:rFonts w:ascii="LinLibertineT" w:hAnsi="LinLibertineT" w:eastAsia="LinLibertineT"/>
          <w:b w:val="0"/>
          <w:i w:val="0"/>
          <w:color w:val="000000"/>
          <w:sz w:val="14"/>
        </w:rPr>
        <w:t xml:space="preserve">George Bosilca, and Ronald Minnich. 2011. The common communication interface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(CCI). In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2011 IEEE 19th Annual Symposium on High Performance Interconnects 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(HOTI)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 IEEE, 51–60.</w:t>
      </w:r>
    </w:p>
    <w:p>
      <w:pPr>
        <w:autoSpaceDN w:val="0"/>
        <w:autoSpaceDE w:val="0"/>
        <w:widowControl/>
        <w:spacing w:line="160" w:lineRule="exact" w:before="32" w:after="0"/>
        <w:ind w:left="308" w:right="144" w:hanging="244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[5]</w:t>
      </w:r>
      <w:r>
        <w:rPr>
          <w:w w:val="98.67078917367118"/>
          <w:rFonts w:ascii="LinLibertineT" w:hAnsi="LinLibertineT" w:eastAsia="LinLibertineT"/>
          <w:b w:val="0"/>
          <w:i w:val="0"/>
          <w:color w:val="000000"/>
          <w:sz w:val="14"/>
        </w:rPr>
        <w:t xml:space="preserve"> D.A. Boyuka, S. Lakshminarasimham, Xiaocheng Zou, Zhenhuan Gong, J. Jenkins,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E.R. Schendel, N. Podhorszki, Qing Liu, S. Klasky, and N.F. Samatova. 2014.</w:t>
      </w:r>
    </w:p>
    <w:p>
      <w:pPr>
        <w:autoSpaceDN w:val="0"/>
        <w:autoSpaceDE w:val="0"/>
        <w:widowControl/>
        <w:spacing w:line="160" w:lineRule="exact" w:before="40" w:after="0"/>
        <w:ind w:left="288" w:right="144" w:firstLine="0"/>
        <w:jc w:val="center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Transparent In Situ Data Transformations in ADIOS. In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2014 14th IEEE/ACM </w:t>
      </w:r>
      <w:r>
        <w:rPr>
          <w:w w:val="98.67078917367118"/>
          <w:rFonts w:ascii="LinLibertineTI" w:hAnsi="LinLibertineTI" w:eastAsia="LinLibertineTI"/>
          <w:b w:val="0"/>
          <w:i/>
          <w:color w:val="000000"/>
          <w:sz w:val="14"/>
        </w:rPr>
        <w:t>International Symposium on Cluster, Cloud and Grid Computing (CCGrid)</w:t>
      </w:r>
      <w:r>
        <w:rPr>
          <w:w w:val="98.67078917367118"/>
          <w:rFonts w:ascii="LinLibertineT" w:hAnsi="LinLibertineT" w:eastAsia="LinLibertineT"/>
          <w:b w:val="0"/>
          <w:i w:val="0"/>
          <w:color w:val="000000"/>
          <w:sz w:val="14"/>
        </w:rPr>
        <w:t>. 256–266.</w:t>
      </w:r>
    </w:p>
    <w:p>
      <w:pPr>
        <w:autoSpaceDN w:val="0"/>
        <w:tabs>
          <w:tab w:pos="308" w:val="left"/>
          <w:tab w:pos="3234" w:val="left"/>
        </w:tabs>
        <w:autoSpaceDE w:val="0"/>
        <w:widowControl/>
        <w:spacing w:line="162" w:lineRule="exact" w:before="30" w:after="0"/>
        <w:ind w:left="64" w:right="0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https://doi.org/10.1109/CCGrid.2014.73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[6]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J. Dayal, D. Bratcher, G. Eisenhauer, K. Schwan, M. Wolf, Xuechen Zhang,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H. Abbasi, S. Klasky, and N. Podhorszki. 2014.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Flexpath: Type-Based Pub-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lish/Subscribe System for Large-Scale Science Analytics. In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2014 14th IEEE/ACM </w:t>
      </w:r>
      <w:r>
        <w:tab/>
      </w:r>
      <w:r>
        <w:rPr>
          <w:w w:val="98.67078917367118"/>
          <w:rFonts w:ascii="LinLibertineTI" w:hAnsi="LinLibertineTI" w:eastAsia="LinLibertineTI"/>
          <w:b w:val="0"/>
          <w:i/>
          <w:color w:val="000000"/>
          <w:sz w:val="14"/>
        </w:rPr>
        <w:t>International Symposium on Cluster, Cloud and Grid Computing (CCGrid)</w:t>
      </w:r>
      <w:r>
        <w:rPr>
          <w:w w:val="98.67078917367118"/>
          <w:rFonts w:ascii="LinLibertineT" w:hAnsi="LinLibertineT" w:eastAsia="LinLibertineT"/>
          <w:b w:val="0"/>
          <w:i w:val="0"/>
          <w:color w:val="000000"/>
          <w:sz w:val="14"/>
        </w:rPr>
        <w:t>. 246–255.</w:t>
      </w:r>
    </w:p>
    <w:p>
      <w:pPr>
        <w:autoSpaceDN w:val="0"/>
        <w:tabs>
          <w:tab w:pos="308" w:val="left"/>
        </w:tabs>
        <w:autoSpaceDE w:val="0"/>
        <w:widowControl/>
        <w:spacing w:line="160" w:lineRule="exact" w:before="32" w:after="0"/>
        <w:ind w:left="64" w:right="0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https://doi.org/10.1109/CCGrid.2014.104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[7]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Ciprian Docan, Manish Parashar, and Scott Klasky. 2010. DataSpaces: an In-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teraction and Coordination Framework for Coupled Simulation Workflows. In</w:t>
      </w:r>
    </w:p>
    <w:p>
      <w:pPr>
        <w:autoSpaceDN w:val="0"/>
        <w:tabs>
          <w:tab w:pos="304" w:val="left"/>
          <w:tab w:pos="308" w:val="left"/>
        </w:tabs>
        <w:autoSpaceDE w:val="0"/>
        <w:widowControl/>
        <w:spacing w:line="160" w:lineRule="exact" w:before="8" w:after="0"/>
        <w:ind w:left="64" w:right="144" w:firstLine="0"/>
        <w:jc w:val="left"/>
      </w:pP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Proceedings of the 19th ACM International Symposium on High Performance </w:t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Distributed Computing (HPDC ’10)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ACM, New York, NY, USA, 25–36. https: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//doi.org/10.1145/1851476.1851481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[8]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Ciprian Docan, Manish Parashar, and Scott Klasky. 2010. Enabling High-Speed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Asynchronous Data Extraction and Transfer using DART.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Concurrency and </w:t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Computation: Practice and Experience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22 (2010), 1181–1204.</w:t>
      </w:r>
    </w:p>
    <w:p>
      <w:pPr>
        <w:autoSpaceDN w:val="0"/>
        <w:tabs>
          <w:tab w:pos="308" w:val="left"/>
        </w:tabs>
        <w:autoSpaceDE w:val="0"/>
        <w:widowControl/>
        <w:spacing w:line="166" w:lineRule="exact" w:before="28" w:after="0"/>
        <w:ind w:left="6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[9]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Jack Dongarra, Pete Beckman, et al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2011. The International Exascale Software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Project Roadmap.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Int. J. High Perform. Comput. Appl.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25, 1 (Feb. 2011), 58.</w:t>
      </w: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[10]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Matthieu Dorier, Gabriel Antoniu, Franck Cappello, Marc Snir, and Leigh Orf.</w:t>
      </w:r>
    </w:p>
    <w:p>
      <w:pPr>
        <w:autoSpaceDN w:val="0"/>
        <w:autoSpaceDE w:val="0"/>
        <w:widowControl/>
        <w:spacing w:line="164" w:lineRule="exact" w:before="30" w:after="0"/>
        <w:ind w:left="308" w:right="166" w:firstLine="0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2012. Damaris: How to Efficiently Leverage Multicore Parallelism to Achieve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Scalable, Jitter-free I/O. In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CLUSTER - IEEE International Conference on Cluster 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Computing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 IEEE.</w:t>
      </w:r>
    </w:p>
    <w:p>
      <w:pPr>
        <w:autoSpaceDN w:val="0"/>
        <w:autoSpaceDE w:val="0"/>
        <w:widowControl/>
        <w:spacing w:line="162" w:lineRule="exact" w:before="30" w:after="0"/>
        <w:ind w:left="304" w:right="166" w:hanging="304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[11]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Matthieu Dorier, Matthieu Dreher, Tom Peterka, Justin M Wozniak, Gabriel </w:t>
      </w:r>
      <w:r>
        <w:rPr>
          <w:w w:val="98.67078917367118"/>
          <w:rFonts w:ascii="LinLibertineT" w:hAnsi="LinLibertineT" w:eastAsia="LinLibertineT"/>
          <w:b w:val="0"/>
          <w:i w:val="0"/>
          <w:color w:val="000000"/>
          <w:sz w:val="14"/>
        </w:rPr>
        <w:t xml:space="preserve">Antoniu, and Bruno Raffin. 2015. Lessons Learned from Building in Situ Coupling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Frameworks. In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Proceedings of the First Workshop on In Situ Infrastructures for 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Enabling Extreme-Scale Analysis and Visualization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 ACM, 19–24.</w:t>
      </w:r>
    </w:p>
    <w:p>
      <w:pPr>
        <w:autoSpaceDN w:val="0"/>
        <w:tabs>
          <w:tab w:pos="308" w:val="left"/>
        </w:tabs>
        <w:autoSpaceDE w:val="0"/>
        <w:widowControl/>
        <w:spacing w:line="160" w:lineRule="exact" w:before="40" w:after="0"/>
        <w:ind w:left="0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[12]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M. Dreher and T. Peterka. 2017.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Decaf: Decoupled Dataflows for In Situ High-</w:t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Performance Workflows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 Technical Report ANL/MCS-TM-371.</w:t>
      </w:r>
    </w:p>
    <w:p>
      <w:pPr>
        <w:autoSpaceDN w:val="0"/>
        <w:autoSpaceDE w:val="0"/>
        <w:widowControl/>
        <w:spacing w:line="162" w:lineRule="exact" w:before="32" w:after="0"/>
        <w:ind w:left="308" w:right="144" w:hanging="308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[13]</w:t>
      </w:r>
      <w:r>
        <w:rPr>
          <w:w w:val="98.67078917367118"/>
          <w:rFonts w:ascii="LinLibertineT" w:hAnsi="LinLibertineT" w:eastAsia="LinLibertineT"/>
          <w:b w:val="0"/>
          <w:i w:val="0"/>
          <w:color w:val="000000"/>
          <w:sz w:val="14"/>
        </w:rPr>
        <w:t xml:space="preserve"> Matthieu Dreher and Bruno Raffin. 2014. A Flexible Framework for Asynchronous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In Situ and In Transit Analytics for Scientific Simulations. In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14th IEEE/ACM 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International Symposium on Cluster, Cloud and Grid Computing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 https://hal.inria.</w:t>
      </w:r>
    </w:p>
    <w:p>
      <w:pPr>
        <w:autoSpaceDN w:val="0"/>
        <w:tabs>
          <w:tab w:pos="308" w:val="left"/>
        </w:tabs>
        <w:autoSpaceDE w:val="0"/>
        <w:widowControl/>
        <w:spacing w:line="160" w:lineRule="exact" w:before="34" w:after="0"/>
        <w:ind w:left="0" w:right="144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fr/hal-00941413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[14]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Greg Eisenhauer, Matthew Wolf, Hasan Abbasi, and Karsten Schwan. [n. d.].</w:t>
      </w:r>
    </w:p>
    <w:p>
      <w:pPr>
        <w:autoSpaceDN w:val="0"/>
        <w:autoSpaceDE w:val="0"/>
        <w:widowControl/>
        <w:spacing w:line="200" w:lineRule="exact" w:before="0" w:after="0"/>
        <w:ind w:left="308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Event-based Systems: Opportunities and Challenges at Exascale. In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Proceedings</w:t>
      </w:r>
    </w:p>
    <w:p>
      <w:pPr>
        <w:autoSpaceDN w:val="0"/>
        <w:autoSpaceDE w:val="0"/>
        <w:widowControl/>
        <w:spacing w:line="160" w:lineRule="exact" w:before="8" w:after="0"/>
        <w:ind w:left="300" w:right="144" w:firstLine="8"/>
        <w:jc w:val="left"/>
      </w:pP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of the Third ACM International Conference on Distributed Event-Based Systems 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(DEBS ’09)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</w:t>
      </w:r>
    </w:p>
    <w:p>
      <w:pPr>
        <w:autoSpaceDN w:val="0"/>
        <w:autoSpaceDE w:val="0"/>
        <w:widowControl/>
        <w:spacing w:line="162" w:lineRule="exact" w:before="32" w:after="0"/>
        <w:ind w:left="306" w:right="0" w:hanging="306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[15]</w:t>
      </w:r>
      <w:r>
        <w:rPr>
          <w:w w:val="98.72111592973981"/>
          <w:rFonts w:ascii="LinLibertineT" w:hAnsi="LinLibertineT" w:eastAsia="LinLibertineT"/>
          <w:b w:val="0"/>
          <w:i w:val="0"/>
          <w:color w:val="000000"/>
          <w:sz w:val="14"/>
        </w:rPr>
        <w:t xml:space="preserve"> Dan Ellsworth, Tapasya Patki, Swann Perarnau, Sangmin Seo, Abdelhalim Amer,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Judicael Zounmevo, Rinku Gupta, Kazutomo Yoshii, Henry Hoffman, Allen Mal-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ony, Martin Schulz, and Pete Beckman. 2016. Systemwide Power Management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with Argo. In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High-Performance, Power-Aware Computing (HPPAC)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</w:t>
      </w: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[16]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N. Fabian, K. Moreland, D. Thompson, A.C. Bauer, P. Marion, B. Geveci, M.</w:t>
      </w:r>
    </w:p>
    <w:p>
      <w:pPr>
        <w:autoSpaceDN w:val="0"/>
        <w:autoSpaceDE w:val="0"/>
        <w:widowControl/>
        <w:spacing w:line="164" w:lineRule="exact" w:before="28" w:after="0"/>
        <w:ind w:left="308" w:right="144" w:firstLine="0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Rasquin, and K.E. Jansen. 2011. The ParaView Coprocessing Library: A Scalable,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General Purpose In Situ Visualization Library. In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2011 IEEE Symposium on Large 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Data Analysis and Visualization (LDAV)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 89–96. https://doi.org/10.1109/LDAV.</w:t>
      </w:r>
    </w:p>
    <w:p>
      <w:pPr>
        <w:autoSpaceDN w:val="0"/>
        <w:tabs>
          <w:tab w:pos="308" w:val="left"/>
        </w:tabs>
        <w:autoSpaceDE w:val="0"/>
        <w:widowControl/>
        <w:spacing w:line="160" w:lineRule="exact" w:before="32" w:after="0"/>
        <w:ind w:left="0" w:right="0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2011.6092322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[17]</w:t>
      </w:r>
      <w:r>
        <w:rPr>
          <w:w w:val="98.67078917367118"/>
          <w:rFonts w:ascii="LinLibertineT" w:hAnsi="LinLibertineT" w:eastAsia="LinLibertineT"/>
          <w:b w:val="0"/>
          <w:i w:val="0"/>
          <w:color w:val="000000"/>
          <w:sz w:val="14"/>
        </w:rPr>
        <w:t xml:space="preserve"> Qing Liu, Jeremy Logan, Yuan Tian, Hasan Abbasi, Norbert Podhorszki, Jong Youl </w:t>
      </w:r>
      <w:r>
        <w:tab/>
      </w:r>
      <w:r>
        <w:rPr>
          <w:w w:val="98.67078917367118"/>
          <w:rFonts w:ascii="LinLibertineT" w:hAnsi="LinLibertineT" w:eastAsia="LinLibertineT"/>
          <w:b w:val="0"/>
          <w:i w:val="0"/>
          <w:color w:val="000000"/>
          <w:sz w:val="14"/>
        </w:rPr>
        <w:t xml:space="preserve">Choi, Scott Klasky, Roselyne Tchoua, Jay Lofstead, Ron Oldfield, Manish Parashar,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Nagiza Samatova, Karsten Schwan, Arie Shoshani, Matthew Wolf, Kesheng Wu, </w:t>
      </w:r>
      <w:r>
        <w:tab/>
      </w:r>
      <w:r>
        <w:rPr>
          <w:w w:val="98.67078917367118"/>
          <w:rFonts w:ascii="LinLibertineT" w:hAnsi="LinLibertineT" w:eastAsia="LinLibertineT"/>
          <w:b w:val="0"/>
          <w:i w:val="0"/>
          <w:color w:val="000000"/>
          <w:sz w:val="14"/>
        </w:rPr>
        <w:t xml:space="preserve">and Weikuan Yu. 2014. Hello ADIOS: The Challenges and Lessons of Developing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Leadership Class I/O Frameworks.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Concurrency and Computation: Practice and </w:t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Experience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26, 7 (2014), 1453–1473. https://doi.org/10.1002/cpe.3125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[18]</w:t>
      </w:r>
      <w:r>
        <w:rPr>
          <w:w w:val="98.72111592973981"/>
          <w:rFonts w:ascii="LinLibertineT" w:hAnsi="LinLibertineT" w:eastAsia="LinLibertineT"/>
          <w:b w:val="0"/>
          <w:i w:val="0"/>
          <w:color w:val="000000"/>
          <w:sz w:val="14"/>
        </w:rPr>
        <w:t xml:space="preserve"> R. A. Oldfield, P. Widener, A. B. Maccabe, L. Ward, and T. Kordenbrock. 2006. Ef-</w:t>
      </w:r>
      <w:r>
        <w:tab/>
      </w:r>
      <w:r>
        <w:rPr>
          <w:w w:val="98.67078917367118"/>
          <w:rFonts w:ascii="LinLibertineT" w:hAnsi="LinLibertineT" w:eastAsia="LinLibertineT"/>
          <w:b w:val="0"/>
          <w:i w:val="0"/>
          <w:color w:val="000000"/>
          <w:sz w:val="14"/>
        </w:rPr>
        <w:t>ficient Data-Movement for Lightweight I/O. In</w:t>
      </w:r>
      <w:r>
        <w:rPr>
          <w:w w:val="98.67078917367118"/>
          <w:rFonts w:ascii="LinLibertineTI" w:hAnsi="LinLibertineTI" w:eastAsia="LinLibertineTI"/>
          <w:b w:val="0"/>
          <w:i/>
          <w:color w:val="000000"/>
          <w:sz w:val="14"/>
        </w:rPr>
        <w:t xml:space="preserve"> 2006 IEEE International Conference </w:t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on Cluster Computing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</w:t>
      </w:r>
    </w:p>
    <w:p>
      <w:pPr>
        <w:autoSpaceDN w:val="0"/>
        <w:autoSpaceDE w:val="0"/>
        <w:widowControl/>
        <w:spacing w:line="164" w:lineRule="exact" w:before="30" w:after="0"/>
        <w:ind w:left="308" w:right="0" w:hanging="30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[19]</w:t>
      </w:r>
      <w:r>
        <w:rPr>
          <w:w w:val="98.67078917367118"/>
          <w:rFonts w:ascii="LinLibertineT" w:hAnsi="LinLibertineT" w:eastAsia="LinLibertineT"/>
          <w:b w:val="0"/>
          <w:i w:val="0"/>
          <w:color w:val="000000"/>
          <w:sz w:val="14"/>
        </w:rPr>
        <w:t xml:space="preserve"> Swann Perarnau, Rinku Gupta, and Pete Beckman. 2015. Argo: An Exascale Oper-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ating System and Runtime. In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The International Conference for High Performance 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Computing, Networking, Storage and Analysis, SC15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</w:t>
      </w:r>
    </w:p>
    <w:p>
      <w:pPr>
        <w:sectPr>
          <w:type w:val="continuous"/>
          <w:pgSz w:w="12240" w:h="15840"/>
          <w:pgMar w:top="582" w:right="1032" w:bottom="332" w:left="1074" w:header="720" w:footer="720" w:gutter="0"/>
          <w:cols w:space="720" w:num="2" w:equalWidth="0">
            <w:col w:w="4972" w:space="0"/>
            <w:col w:w="5161" w:space="0"/>
            <w:col w:w="10149" w:space="0"/>
            <w:col w:w="3780" w:space="0"/>
            <w:col w:w="6369" w:space="0"/>
            <w:col w:w="4972" w:space="0"/>
            <w:col w:w="5169" w:space="0"/>
            <w:col w:w="4978" w:space="0"/>
            <w:col w:w="5169" w:space="0"/>
            <w:col w:w="10148" w:space="0"/>
            <w:col w:w="3778" w:space="0"/>
            <w:col w:w="6369" w:space="0"/>
            <w:col w:w="4982" w:space="0"/>
            <w:col w:w="5169" w:space="0"/>
            <w:col w:w="10152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0" w:right="42" w:firstLine="0"/>
        <w:jc w:val="right"/>
      </w:pPr>
      <w:r>
        <w:rPr>
          <w:rFonts w:ascii="LinBiolinumT" w:hAnsi="LinBiolinumT" w:eastAsia="LinBiolinumT"/>
          <w:b w:val="0"/>
          <w:i w:val="0"/>
          <w:color w:val="000000"/>
          <w:sz w:val="18"/>
        </w:rPr>
        <w:t>ISAV’, November 2017, Denver, Colorado, USA</w:t>
      </w:r>
    </w:p>
    <w:p>
      <w:pPr>
        <w:autoSpaceDN w:val="0"/>
        <w:autoSpaceDE w:val="0"/>
        <w:widowControl/>
        <w:spacing w:line="162" w:lineRule="exact" w:before="370" w:after="0"/>
        <w:ind w:left="622" w:right="26" w:hanging="308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[20]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Swann Perarnau, Rajeev Thakur, Kamil Iskra, Ken Raffenetti, Franck Cappello,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Rinku Gupta, Pete Beckman, Marc Snir, Henry Hoffmann, Martin Schulz, and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Barry Rountree. 2015. Distributed Monitoring and Management of Exascale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Systems in the Argo Project. In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IFIP International Conference on Distributed Ap-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plications and Interoperable Systems (DAIS), Short Paper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</w:t>
      </w:r>
    </w:p>
    <w:p>
      <w:pPr>
        <w:autoSpaceDN w:val="0"/>
        <w:autoSpaceDE w:val="0"/>
        <w:widowControl/>
        <w:spacing w:line="194" w:lineRule="exact" w:before="0" w:after="0"/>
        <w:ind w:left="314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[21]</w:t>
      </w:r>
      <w:r>
        <w:rPr>
          <w:w w:val="98.82169451032367"/>
          <w:rFonts w:ascii="LinLibertineT" w:hAnsi="LinLibertineT" w:eastAsia="LinLibertineT"/>
          <w:b w:val="0"/>
          <w:i w:val="0"/>
          <w:color w:val="000000"/>
          <w:sz w:val="14"/>
        </w:rPr>
        <w:t xml:space="preserve"> S. Perarnau, J. A. Zounmevo, M. Dreher, B. C. V. Essen, R. Gioiosa, K. Iskra, M. B.</w:t>
      </w:r>
    </w:p>
    <w:p>
      <w:pPr>
        <w:autoSpaceDN w:val="0"/>
        <w:tabs>
          <w:tab w:pos="622" w:val="left"/>
        </w:tabs>
        <w:autoSpaceDE w:val="0"/>
        <w:widowControl/>
        <w:spacing w:line="162" w:lineRule="exact" w:before="30" w:after="0"/>
        <w:ind w:left="314" w:right="0" w:firstLine="0"/>
        <w:jc w:val="left"/>
      </w:pPr>
      <w:r>
        <w:tab/>
      </w:r>
      <w:r>
        <w:rPr>
          <w:w w:val="98.67078917367118"/>
          <w:rFonts w:ascii="LinLibertineT" w:hAnsi="LinLibertineT" w:eastAsia="LinLibertineT"/>
          <w:b w:val="0"/>
          <w:i w:val="0"/>
          <w:color w:val="000000"/>
          <w:sz w:val="14"/>
        </w:rPr>
        <w:t xml:space="preserve">Gokhale, K. Yoshii, and P. Beckman. 2017. Argo NodeOS: Toward Unified Resource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Management for Exascale. In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2017 IEEE International Parallel and Distributed </w:t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Processing Symposium (IPDPS)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153–162. https://doi.org/10.1109/IPDPS.2017.25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[22]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Brad Whitlock, Jean M. Favre, and Jeremy S. Meredith. 2011. Parallel In Situ </w:t>
      </w:r>
      <w:r>
        <w:tab/>
      </w:r>
      <w:r>
        <w:rPr>
          <w:w w:val="98.67078917367118"/>
          <w:rFonts w:ascii="LinLibertineT" w:hAnsi="LinLibertineT" w:eastAsia="LinLibertineT"/>
          <w:b w:val="0"/>
          <w:i w:val="0"/>
          <w:color w:val="000000"/>
          <w:sz w:val="14"/>
        </w:rPr>
        <w:t>Coupling of Simulation with a Fully Featured Visualization System. In</w:t>
      </w:r>
      <w:r>
        <w:rPr>
          <w:w w:val="98.67078917367118"/>
          <w:rFonts w:ascii="LinLibertineTI" w:hAnsi="LinLibertineTI" w:eastAsia="LinLibertineTI"/>
          <w:b w:val="0"/>
          <w:i/>
          <w:color w:val="000000"/>
          <w:sz w:val="14"/>
        </w:rPr>
        <w:t xml:space="preserve"> Proceedings</w:t>
      </w:r>
    </w:p>
    <w:p>
      <w:pPr>
        <w:autoSpaceDN w:val="0"/>
        <w:autoSpaceDE w:val="0"/>
        <w:widowControl/>
        <w:spacing w:line="160" w:lineRule="exact" w:before="8" w:after="0"/>
        <w:ind w:left="608" w:right="0" w:firstLine="14"/>
        <w:jc w:val="left"/>
      </w:pPr>
      <w:r>
        <w:rPr>
          <w:w w:val="98.67078917367118"/>
          <w:rFonts w:ascii="LinLibertineTI" w:hAnsi="LinLibertineTI" w:eastAsia="LinLibertineTI"/>
          <w:b w:val="0"/>
          <w:i/>
          <w:color w:val="000000"/>
          <w:sz w:val="14"/>
        </w:rPr>
        <w:t>of the 11th Eurographics Conference on Parallel Graphics and Visualization (EGPGV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’11)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 Eurographics Association, 101–109.</w:t>
      </w:r>
    </w:p>
    <w:p>
      <w:pPr>
        <w:autoSpaceDN w:val="0"/>
        <w:autoSpaceDE w:val="0"/>
        <w:widowControl/>
        <w:spacing w:line="164" w:lineRule="exact" w:before="30" w:after="0"/>
        <w:ind w:left="622" w:right="26" w:hanging="308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[23]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Michael Wilde, Mihael Hategan, Justin M. Wozniak, Ben Clifford, Daniel S. Katz, </w:t>
      </w:r>
      <w:r>
        <w:rPr>
          <w:w w:val="98.67078917367118"/>
          <w:rFonts w:ascii="LinLibertineT" w:hAnsi="LinLibertineT" w:eastAsia="LinLibertineT"/>
          <w:b w:val="0"/>
          <w:i w:val="0"/>
          <w:color w:val="000000"/>
          <w:sz w:val="14"/>
        </w:rPr>
        <w:t>and Ian Foster. 2011. Swift: A Language for Distributed Parallel Scripting.</w:t>
      </w:r>
      <w:r>
        <w:rPr>
          <w:w w:val="98.67078917367118"/>
          <w:rFonts w:ascii="LinLibertineTI" w:hAnsi="LinLibertineTI" w:eastAsia="LinLibertineTI"/>
          <w:b w:val="0"/>
          <w:i/>
          <w:color w:val="000000"/>
          <w:sz w:val="14"/>
        </w:rPr>
        <w:t xml:space="preserve"> Parallel 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Comput.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37, 9 (2011). https://doi.org/10.1016/j.parco.2011.05.005</w:t>
      </w:r>
    </w:p>
    <w:p>
      <w:pPr>
        <w:autoSpaceDN w:val="0"/>
        <w:autoSpaceDE w:val="0"/>
        <w:widowControl/>
        <w:spacing w:line="180" w:lineRule="exact" w:before="10688" w:after="0"/>
        <w:ind w:left="134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26</w:t>
      </w:r>
    </w:p>
    <w:sectPr w:rsidR="00FC693F" w:rsidRPr="0006063C" w:rsidSect="00034616">
      <w:type w:val="nextColumn"/>
      <w:pgSz w:w="12240" w:h="15840"/>
      <w:pgMar w:top="582" w:right="1032" w:bottom="332" w:left="1074" w:header="720" w:footer="720" w:gutter="0"/>
      <w:cols w:space="720" w:num="2" w:equalWidth="0">
        <w:col w:w="4972" w:space="0"/>
        <w:col w:w="5161" w:space="0"/>
        <w:col w:w="10149" w:space="0"/>
        <w:col w:w="3780" w:space="0"/>
        <w:col w:w="6369" w:space="0"/>
        <w:col w:w="4972" w:space="0"/>
        <w:col w:w="5169" w:space="0"/>
        <w:col w:w="4978" w:space="0"/>
        <w:col w:w="5169" w:space="0"/>
        <w:col w:w="10148" w:space="0"/>
        <w:col w:w="3778" w:space="0"/>
        <w:col w:w="6369" w:space="0"/>
        <w:col w:w="4982" w:space="0"/>
        <w:col w:w="5169" w:space="0"/>
        <w:col w:w="1015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