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494" w:lineRule="exact" w:before="0" w:after="0"/>
        <w:ind w:left="0" w:right="0" w:firstLine="0"/>
        <w:jc w:val="center"/>
      </w:pPr>
      <w:r>
        <w:rPr>
          <w:rFonts w:ascii="Helvetica,Bold" w:hAnsi="Helvetica,Bold" w:eastAsia="Helvetica,Bold"/>
          <w:b/>
          <w:i w:val="0"/>
          <w:color w:val="000000"/>
          <w:sz w:val="36"/>
        </w:rPr>
        <w:t xml:space="preserve">Descriptive Epidemiology of Neonatal Mortality in Gowa </w:t>
      </w:r>
    </w:p>
    <w:p>
      <w:pPr>
        <w:autoSpaceDN w:val="0"/>
        <w:autoSpaceDE w:val="0"/>
        <w:widowControl/>
        <w:spacing w:line="494" w:lineRule="exact" w:before="0" w:after="0"/>
        <w:ind w:left="0" w:right="0" w:firstLine="0"/>
        <w:jc w:val="center"/>
      </w:pPr>
      <w:r>
        <w:rPr>
          <w:rFonts w:ascii="Helvetica,Bold" w:hAnsi="Helvetica,Bold" w:eastAsia="Helvetica,Bold"/>
          <w:b/>
          <w:i w:val="0"/>
          <w:color w:val="000000"/>
          <w:sz w:val="36"/>
        </w:rPr>
        <w:t>District 2015</w:t>
      </w:r>
    </w:p>
    <w:p>
      <w:pPr>
        <w:autoSpaceDN w:val="0"/>
        <w:tabs>
          <w:tab w:pos="4240" w:val="left"/>
          <w:tab w:pos="7454" w:val="left"/>
        </w:tabs>
        <w:autoSpaceDE w:val="0"/>
        <w:widowControl/>
        <w:spacing w:line="330" w:lineRule="exact" w:before="0" w:after="0"/>
        <w:ind w:left="652" w:right="0" w:firstLine="0"/>
        <w:jc w:val="left"/>
      </w:pPr>
      <w:r>
        <w:rPr>
          <w:rFonts w:ascii="Helvetica" w:hAnsi="Helvetica" w:eastAsia="Helvetica"/>
          <w:b w:val="0"/>
          <w:i w:val="0"/>
          <w:color w:val="000009"/>
          <w:sz w:val="24"/>
        </w:rPr>
        <w:t xml:space="preserve">Amalya Rezky Putri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4"/>
        </w:rPr>
        <w:t xml:space="preserve">Jumriani Ansar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4"/>
        </w:rPr>
        <w:t xml:space="preserve">Dian Sidik Arsyad </w:t>
      </w:r>
    </w:p>
    <w:p>
      <w:pPr>
        <w:autoSpaceDN w:val="0"/>
        <w:autoSpaceDE w:val="0"/>
        <w:widowControl/>
        <w:spacing w:line="276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Faculty of Public Health, Hasanuddin </w:t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Faculty of Public Health, Hasanuddin </w:t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Faculty of Public Health, Hasanuddin </w:t>
      </w:r>
    </w:p>
    <w:p>
      <w:pPr>
        <w:autoSpaceDN w:val="0"/>
        <w:tabs>
          <w:tab w:pos="4584" w:val="left"/>
          <w:tab w:pos="6830" w:val="left"/>
        </w:tabs>
        <w:autoSpaceDE w:val="0"/>
        <w:widowControl/>
        <w:spacing w:line="274" w:lineRule="exact" w:before="0" w:after="0"/>
        <w:ind w:left="1224" w:right="0" w:firstLine="0"/>
        <w:jc w:val="left"/>
      </w:pP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University,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University,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University, Jl. Perintis Kemerdekaan </w:t>
      </w:r>
    </w:p>
    <w:p>
      <w:pPr>
        <w:autoSpaceDN w:val="0"/>
        <w:tabs>
          <w:tab w:pos="3588" w:val="left"/>
          <w:tab w:pos="7214" w:val="left"/>
        </w:tabs>
        <w:autoSpaceDE w:val="0"/>
        <w:widowControl/>
        <w:spacing w:line="276" w:lineRule="exact" w:before="0" w:after="0"/>
        <w:ind w:left="228" w:right="0" w:firstLine="0"/>
        <w:jc w:val="left"/>
      </w:pP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Jl. Perintis Kemerdekaan Km. 10,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Jl. Perintis Kemerdekaan Km. 10,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Km. 10, Tamalanrea Indah, </w:t>
      </w:r>
    </w:p>
    <w:p>
      <w:pPr>
        <w:autoSpaceDN w:val="0"/>
        <w:tabs>
          <w:tab w:pos="3642" w:val="left"/>
          <w:tab w:pos="7002" w:val="left"/>
        </w:tabs>
        <w:autoSpaceDE w:val="0"/>
        <w:widowControl/>
        <w:spacing w:line="276" w:lineRule="exact" w:before="0" w:after="0"/>
        <w:ind w:left="280" w:right="0" w:firstLine="0"/>
        <w:jc w:val="left"/>
      </w:pP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Tamalanrea Indah, Tamalanrea,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Tamalanrea Indah, Tamalanrea,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Tamalanrea, Tamalanrea Indah, </w:t>
      </w:r>
    </w:p>
    <w:p>
      <w:pPr>
        <w:autoSpaceDN w:val="0"/>
        <w:autoSpaceDE w:val="0"/>
        <w:widowControl/>
        <w:spacing w:line="27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Tamalanrea Indah, Tamalanrea, Kota </w:t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Tamalanrea Indah, Tamalanrea, Kota </w:t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Tamalanrea, Kota Makassar, Sulawesi </w:t>
      </w:r>
    </w:p>
    <w:p>
      <w:pPr>
        <w:autoSpaceDN w:val="0"/>
        <w:tabs>
          <w:tab w:pos="3484" w:val="left"/>
          <w:tab w:pos="7290" w:val="left"/>
        </w:tabs>
        <w:autoSpaceDE w:val="0"/>
        <w:widowControl/>
        <w:spacing w:line="276" w:lineRule="exact" w:before="0" w:after="0"/>
        <w:ind w:left="124" w:right="0" w:firstLine="0"/>
        <w:jc w:val="left"/>
      </w:pP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Makassar, Sulawesi Selatan 90245,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Makassar, Sulawesi Selatan 90245,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Selatan 90245, Indonesia </w:t>
      </w:r>
    </w:p>
    <w:p>
      <w:pPr>
        <w:autoSpaceDN w:val="0"/>
        <w:autoSpaceDE w:val="0"/>
        <w:widowControl/>
        <w:spacing w:line="226" w:lineRule="exact" w:before="102" w:after="0"/>
        <w:ind w:left="432" w:right="7200" w:firstLine="0"/>
        <w:jc w:val="center"/>
      </w:pPr>
      <w:r>
        <w:rPr>
          <w:rFonts w:ascii="Helvetica" w:hAnsi="Helvetica" w:eastAsia="Helvetica"/>
          <w:b w:val="0"/>
          <w:i w:val="0"/>
          <w:color w:val="000009"/>
          <w:sz w:val="24"/>
        </w:rPr>
        <w:t xml:space="preserve">amalyarp@gmail.com </w:t>
      </w:r>
      <w:r>
        <w:br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Indonesia </w:t>
      </w:r>
    </w:p>
    <w:p>
      <w:pPr>
        <w:autoSpaceDN w:val="0"/>
        <w:tabs>
          <w:tab w:pos="4616" w:val="left"/>
          <w:tab w:pos="7170" w:val="left"/>
        </w:tabs>
        <w:autoSpaceDE w:val="0"/>
        <w:widowControl/>
        <w:spacing w:line="226" w:lineRule="exact" w:before="102" w:after="518"/>
        <w:ind w:left="3642" w:right="432" w:firstLine="0"/>
        <w:jc w:val="left"/>
      </w:pPr>
      <w:r>
        <w:rPr>
          <w:rFonts w:ascii="Helvetica" w:hAnsi="Helvetica" w:eastAsia="Helvetica"/>
          <w:b w:val="0"/>
          <w:i w:val="0"/>
          <w:color w:val="000009"/>
          <w:sz w:val="24"/>
        </w:rPr>
        <w:t xml:space="preserve">jumriani.ansar@gmail.com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0"/>
        </w:rPr>
        <w:t xml:space="preserve">Indonesia </w:t>
      </w:r>
      <w:r>
        <w:tab/>
      </w:r>
      <w:r>
        <w:rPr>
          <w:rFonts w:ascii="Helvetica" w:hAnsi="Helvetica" w:eastAsia="Helvetica"/>
          <w:b w:val="0"/>
          <w:i w:val="0"/>
          <w:color w:val="000009"/>
          <w:sz w:val="24"/>
        </w:rPr>
        <w:t xml:space="preserve">dian_sidiq@yahoo.com </w:t>
      </w:r>
    </w:p>
    <w:p>
      <w:pPr>
        <w:sectPr>
          <w:pgSz w:w="12240" w:h="15840"/>
          <w:pgMar w:top="658" w:right="1008" w:bottom="262" w:left="1080" w:header="720" w:footer="720" w:gutter="0"/>
          <w:cols w:space="720" w:num="1" w:equalWidth="0"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128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 xml:space="preserve">ABSTRACT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The aim of this study is to describe epidemiology of neonatal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mortality in Gowa district 2015. The study type was an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observational descriptive study. The population for this study was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all neonatal deaths had recorded in Gowa district health office in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2015. Meanwhile, the sample sizes were 77 neonatal death cases.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The point coordinates were determined by using geographic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positioning system (GPS) and exported into geographic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information system (GIS). The result showed neonatal death cases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occurred by maternal characteristics with received antenatal care 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visit (ANC) ≥ 4visits (71.2%), 2 times of tetanus toxoid (TT)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vaccination (81.9%) and birth attendance by midwife (85.7%).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infant characteristics occurred based on parity 1 (51.9%),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gestational age &lt; 37 weeks (64.9%), birth weight &lt; 2500 gram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(54.2%). The main cause of neonatal mortality was asphyxia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neonatorum (45.5%). The neonatal mortality was occurred at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health centres (46.8%) and hospital (57. 1%).The average distance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from respondent house to the hospital respectively 19. 41 km and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19.94 km. Most of neonatal mortality occurred in September with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total of 12.52/1000 live births. The number of midwives should be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increasing to reduce neonatal mortality.</w:t>
      </w:r>
    </w:p>
    <w:p>
      <w:pPr>
        <w:autoSpaceDN w:val="0"/>
        <w:autoSpaceDE w:val="0"/>
        <w:widowControl/>
        <w:spacing w:line="212" w:lineRule="exact" w:before="206" w:after="0"/>
        <w:ind w:left="0" w:right="576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>CCS Concepts</w:t>
      </w:r>
      <w:r>
        <w:br/>
      </w:r>
      <w:r>
        <w:rPr>
          <w:rFonts w:ascii="Symbol" w:hAnsi="Symbol" w:eastAsia="Symbol"/>
          <w:b w:val="0"/>
          <w:i w:val="0"/>
          <w:color w:val="000009"/>
          <w:sz w:val="18"/>
        </w:rPr>
        <w:t>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Social and professional topics → User characteristics </w:t>
      </w:r>
    </w:p>
    <w:p>
      <w:pPr>
        <w:autoSpaceDN w:val="0"/>
        <w:autoSpaceDE w:val="0"/>
        <w:widowControl/>
        <w:spacing w:line="184" w:lineRule="exact" w:before="220" w:after="0"/>
        <w:ind w:left="0" w:right="1296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 xml:space="preserve">Keywords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Descriptive; epidemiology; neonatal death; GIS </w:t>
      </w:r>
    </w:p>
    <w:p>
      <w:pPr>
        <w:autoSpaceDN w:val="0"/>
        <w:autoSpaceDE w:val="0"/>
        <w:widowControl/>
        <w:spacing w:line="202" w:lineRule="exact" w:before="216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>1.</w:t>
      </w:r>
      <w:r>
        <w:rPr>
          <w:rFonts w:ascii="Times New Roman,Bold" w:hAnsi="Times New Roman,Bold" w:eastAsia="Times New Roman,Bold"/>
          <w:b/>
          <w:i w:val="0"/>
          <w:color w:val="000000"/>
          <w:sz w:val="24"/>
        </w:rPr>
        <w:t xml:space="preserve">INTRODUCTION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Neonatal is period that infant adapted new environment from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intrauterine life to extra-uterine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life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[1,2].  Each year, more than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4 million infants were died within first 4 weeks of their life, while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3 million deaths occurred in early neonatal period [3]. The </w:t>
      </w:r>
    </w:p>
    <w:p>
      <w:pPr>
        <w:autoSpaceDN w:val="0"/>
        <w:autoSpaceDE w:val="0"/>
        <w:widowControl/>
        <w:spacing w:line="184" w:lineRule="exact" w:before="178" w:after="0"/>
        <w:ind w:left="22" w:right="3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6"/>
        </w:rPr>
        <w:t xml:space="preserve">Permission to make digital or hard copies of all or part of this work for </w:t>
      </w:r>
      <w:r>
        <w:rPr>
          <w:rFonts w:ascii="Times New Roman" w:hAnsi="Times New Roman" w:eastAsia="Times New Roman"/>
          <w:b w:val="0"/>
          <w:i w:val="0"/>
          <w:color w:val="000009"/>
          <w:sz w:val="16"/>
        </w:rPr>
        <w:t xml:space="preserve">personal or classroom use is granted without fee provided that copies are </w:t>
      </w:r>
      <w:r>
        <w:rPr>
          <w:rFonts w:ascii="Times New Roman" w:hAnsi="Times New Roman" w:eastAsia="Times New Roman"/>
          <w:b w:val="0"/>
          <w:i w:val="0"/>
          <w:color w:val="000009"/>
          <w:sz w:val="16"/>
        </w:rPr>
        <w:t xml:space="preserve">not made or distributed for profit or commercial advantage and that copies </w:t>
      </w:r>
      <w:r>
        <w:rPr>
          <w:rFonts w:ascii="Times New Roman" w:hAnsi="Times New Roman" w:eastAsia="Times New Roman"/>
          <w:b w:val="0"/>
          <w:i w:val="0"/>
          <w:color w:val="000009"/>
          <w:sz w:val="16"/>
        </w:rPr>
        <w:t xml:space="preserve">bear this notice and the full citation on the first page. To copy otherwise, </w:t>
      </w:r>
      <w:r>
        <w:rPr>
          <w:rFonts w:ascii="Times New Roman" w:hAnsi="Times New Roman" w:eastAsia="Times New Roman"/>
          <w:b w:val="0"/>
          <w:i w:val="0"/>
          <w:color w:val="000009"/>
          <w:sz w:val="16"/>
        </w:rPr>
        <w:t xml:space="preserve">or republish, to post on servers or to redistribute to lists, requires prior </w:t>
      </w:r>
      <w:r>
        <w:rPr>
          <w:rFonts w:ascii="Times New Roman" w:hAnsi="Times New Roman" w:eastAsia="Times New Roman"/>
          <w:b w:val="0"/>
          <w:i w:val="0"/>
          <w:color w:val="000009"/>
          <w:sz w:val="16"/>
        </w:rPr>
        <w:t xml:space="preserve">specific permission and/or a fee. </w:t>
      </w:r>
    </w:p>
    <w:p>
      <w:pPr>
        <w:autoSpaceDN w:val="0"/>
        <w:autoSpaceDE w:val="0"/>
        <w:widowControl/>
        <w:spacing w:line="206" w:lineRule="exact" w:before="34" w:after="0"/>
        <w:ind w:left="22" w:right="0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9"/>
          <w:sz w:val="16"/>
        </w:rPr>
        <w:t>ICHSM 2018,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June 8–10, 2018, Tsukuba, Japan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© 2018 Copyright is held by the owner/author(s). Publication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rights licensed to ACM. </w:t>
      </w:r>
    </w:p>
    <w:p>
      <w:pPr>
        <w:autoSpaceDN w:val="0"/>
        <w:autoSpaceDE w:val="0"/>
        <w:widowControl/>
        <w:spacing w:line="248" w:lineRule="exact" w:before="0" w:after="0"/>
        <w:ind w:left="22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ACM ISBN 978-1-4503-6435-5/18/06...$15.00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22"/>
        </w:rPr>
        <w:t xml:space="preserve">DOI: https://doi.org/10.1145/3242789.3242827 </w:t>
      </w:r>
    </w:p>
    <w:p>
      <w:pPr>
        <w:sectPr>
          <w:type w:val="continuous"/>
          <w:pgSz w:w="12240" w:h="15840"/>
          <w:pgMar w:top="658" w:right="1008" w:bottom="262" w:left="1080" w:header="720" w:footer="720" w:gutter="0"/>
          <w:cols w:space="720" w:num="2" w:equalWidth="0"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16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16"/>
        </w:rPr>
        <w:t>202</w:t>
      </w:r>
    </w:p>
    <w:p>
      <w:pPr>
        <w:sectPr>
          <w:type w:val="nextColumn"/>
          <w:pgSz w:w="12240" w:h="15840"/>
          <w:pgMar w:top="658" w:right="1008" w:bottom="262" w:left="1080" w:header="720" w:footer="720" w:gutter="0"/>
          <w:cols w:space="720" w:num="2" w:equalWidth="0"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sectPr>
          <w:pgSz w:w="12240" w:h="15840"/>
          <w:pgMar w:top="528" w:right="946" w:bottom="260" w:left="968" w:header="720" w:footer="720" w:gutter="0"/>
          <w:cols w:space="720" w:num="2" w:equalWidth="0"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34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included residing in Gowa district in 2015 and willing to be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respondent in this district. </w:t>
      </w:r>
    </w:p>
    <w:p>
      <w:pPr>
        <w:autoSpaceDN w:val="0"/>
        <w:autoSpaceDE w:val="0"/>
        <w:widowControl/>
        <w:spacing w:line="202" w:lineRule="exact" w:before="218" w:after="0"/>
        <w:ind w:left="11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>2.4</w:t>
      </w: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 xml:space="preserve">Data Processing and Data Analysis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Data analysis was performed by using Microsoft Excel 2010,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SPSS program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version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16, Quantum GIS 2.14.1. The univariate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analysis was done for general description by using frequency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distribution table. The geographical distribution was represented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by QGIS. </w:t>
      </w:r>
    </w:p>
    <w:p>
      <w:pPr>
        <w:autoSpaceDN w:val="0"/>
        <w:autoSpaceDE w:val="0"/>
        <w:widowControl/>
        <w:spacing w:line="218" w:lineRule="exact" w:before="200" w:after="0"/>
        <w:ind w:left="112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>3.</w:t>
      </w: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 xml:space="preserve">RESULT AND DISCUSSION </w:t>
      </w:r>
      <w:r>
        <w:br/>
      </w: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>3.1</w:t>
      </w: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 xml:space="preserve">Univariate Analysis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1, 52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respondents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(71.2%) had more than 4 ANC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visits and only 21 respondents (28.8%) had less than 4 ANC visits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during their pregnancy.</w:t>
      </w:r>
    </w:p>
    <w:p>
      <w:pPr>
        <w:autoSpaceDN w:val="0"/>
        <w:autoSpaceDE w:val="0"/>
        <w:widowControl/>
        <w:spacing w:line="206" w:lineRule="exact" w:before="136" w:after="60"/>
        <w:ind w:left="288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1. Distribution of respondent based on frequency of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ANC visits in 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42"/>
        <w:gridCol w:w="3442"/>
        <w:gridCol w:w="3442"/>
      </w:tblGrid>
      <w:tr>
        <w:trPr>
          <w:trHeight w:hRule="exact" w:val="50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2" w:after="0"/>
              <w:ind w:left="432" w:right="288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ANC visit </w:t>
            </w:r>
            <w:r>
              <w:br/>
            </w: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frequency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&lt;4 times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21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28.8 </w:t>
            </w:r>
          </w:p>
        </w:tc>
      </w:tr>
      <w:tr>
        <w:trPr>
          <w:trHeight w:hRule="exact" w:val="298"/>
        </w:trPr>
        <w:tc>
          <w:tcPr>
            <w:tcW w:type="dxa" w:w="1672"/>
            <w:tcBorders>
              <w:start w:sz="3.1999999999999886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≥4 times </w:t>
            </w:r>
          </w:p>
        </w:tc>
        <w:tc>
          <w:tcPr>
            <w:tcW w:type="dxa" w:w="1674"/>
            <w:tcBorders>
              <w:start w:sz="3.2000000000000455" w:val="single" w:color="#000000"/>
              <w:top w:sz="3.200000000000273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52 </w:t>
            </w:r>
          </w:p>
        </w:tc>
        <w:tc>
          <w:tcPr>
            <w:tcW w:type="dxa" w:w="1674"/>
            <w:tcBorders>
              <w:start w:sz="3.2000000000000455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71.2 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73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06" w:lineRule="exact" w:before="82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The spreading of neonatal mortality cases based on ANC visit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frequency in Gowa district 2015 in Figure 1. </w:t>
      </w:r>
    </w:p>
    <w:p>
      <w:pPr>
        <w:autoSpaceDN w:val="0"/>
        <w:autoSpaceDE w:val="0"/>
        <w:widowControl/>
        <w:spacing w:line="240" w:lineRule="auto" w:before="36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83560" cy="21831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183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116" w:after="0"/>
        <w:ind w:left="144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1.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ANC visits in Gowa district 2015.</w:t>
      </w:r>
    </w:p>
    <w:p>
      <w:pPr>
        <w:autoSpaceDN w:val="0"/>
        <w:autoSpaceDE w:val="0"/>
        <w:widowControl/>
        <w:spacing w:line="208" w:lineRule="exact" w:before="64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2, There were 59 respondents had 2 times of TT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vaccination and 13 respondents had only once vaccination</w:t>
      </w:r>
    </w:p>
    <w:p>
      <w:pPr>
        <w:autoSpaceDN w:val="0"/>
        <w:autoSpaceDE w:val="0"/>
        <w:widowControl/>
        <w:spacing w:line="208" w:lineRule="exact" w:before="132" w:after="60"/>
        <w:ind w:left="144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2. Distribution of respondent based TT vaccination in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42"/>
        <w:gridCol w:w="3442"/>
        <w:gridCol w:w="3442"/>
      </w:tblGrid>
      <w:tr>
        <w:trPr>
          <w:trHeight w:hRule="exact" w:val="298"/>
        </w:trPr>
        <w:tc>
          <w:tcPr>
            <w:tcW w:type="dxa" w:w="1672"/>
            <w:tcBorders>
              <w:start w:sz="3.1999999999999886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TT vaccination </w:t>
            </w:r>
          </w:p>
        </w:tc>
        <w:tc>
          <w:tcPr>
            <w:tcW w:type="dxa" w:w="1674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13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18.1 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 </w:t>
            </w:r>
          </w:p>
        </w:tc>
        <w:tc>
          <w:tcPr>
            <w:tcW w:type="dxa" w:w="1674"/>
            <w:tcBorders>
              <w:start w:sz="3.2000000000000455" w:val="single" w:color="#000000"/>
              <w:top w:sz="3.199999999999818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59 </w:t>
            </w:r>
          </w:p>
        </w:tc>
        <w:tc>
          <w:tcPr>
            <w:tcW w:type="dxa" w:w="1674"/>
            <w:tcBorders>
              <w:start w:sz="3.2000000000000455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81.9 </w:t>
            </w:r>
          </w:p>
        </w:tc>
      </w:tr>
      <w:tr>
        <w:trPr>
          <w:trHeight w:hRule="exact" w:val="298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3.200000000000727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727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72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08" w:lineRule="exact" w:before="80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2 had described spreading of neonatal mortality based on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TT vaccination during their pregnancy period. </w:t>
      </w:r>
    </w:p>
    <w:p>
      <w:pPr>
        <w:sectPr>
          <w:type w:val="continuous"/>
          <w:pgSz w:w="12240" w:h="15840"/>
          <w:pgMar w:top="528" w:right="946" w:bottom="260" w:left="968" w:header="720" w:footer="720" w:gutter="0"/>
          <w:cols w:space="720" w:num="2" w:equalWidth="0"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50540" cy="21602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160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100" w:after="0"/>
        <w:ind w:left="288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2.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TT vaccination in Gowa district 2015.</w:t>
      </w:r>
    </w:p>
    <w:p>
      <w:pPr>
        <w:autoSpaceDN w:val="0"/>
        <w:autoSpaceDE w:val="0"/>
        <w:widowControl/>
        <w:spacing w:line="206" w:lineRule="exact" w:before="64" w:after="0"/>
        <w:ind w:left="360" w:right="8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3, most birth attendances were midwives, 66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respondents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(85.7%) and 3 respondents (3.9%) had no birth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attendants. Meanwhile, Figure 3 showed spreading of neonatal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mortality cases based on birth attendances in Gowa district in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2015.</w:t>
      </w:r>
    </w:p>
    <w:p>
      <w:pPr>
        <w:autoSpaceDN w:val="0"/>
        <w:autoSpaceDE w:val="0"/>
        <w:widowControl/>
        <w:spacing w:line="206" w:lineRule="exact" w:before="136" w:after="56"/>
        <w:ind w:left="720" w:right="432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3. Distribution of respondents based on birth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attendance in 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000000000009" w:type="dxa"/>
      </w:tblPr>
      <w:tblGrid>
        <w:gridCol w:w="3442"/>
        <w:gridCol w:w="3442"/>
        <w:gridCol w:w="3442"/>
      </w:tblGrid>
      <w:tr>
        <w:trPr>
          <w:trHeight w:hRule="exact" w:val="300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Birth attendant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4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Obstetricians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4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5.2 </w:t>
            </w:r>
          </w:p>
        </w:tc>
      </w:tr>
      <w:tr>
        <w:trPr>
          <w:trHeight w:hRule="exact" w:val="300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Midwives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66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85.7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Traditional healer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2.6 </w:t>
            </w:r>
          </w:p>
        </w:tc>
      </w:tr>
      <w:tr>
        <w:trPr>
          <w:trHeight w:hRule="exact" w:val="298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Friend/family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2.6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No birth attendance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3.9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3.200000000000273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6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77 </w:t>
            </w:r>
          </w:p>
        </w:tc>
        <w:tc>
          <w:tcPr>
            <w:tcW w:type="dxa" w:w="16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40" w:lineRule="auto" w:before="7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2129" cy="217550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129" cy="21755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104" w:after="0"/>
        <w:ind w:left="288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3.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birth attendances in Gowa district 2015.</w:t>
      </w:r>
    </w:p>
    <w:p>
      <w:pPr>
        <w:autoSpaceDN w:val="0"/>
        <w:autoSpaceDE w:val="0"/>
        <w:widowControl/>
        <w:spacing w:line="208" w:lineRule="exact" w:before="66" w:after="0"/>
        <w:ind w:left="360" w:right="8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4, Most of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respondents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had parity 2-3, 59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respondents (33.8%) and 11 respondents (14.3%) had parity more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than 4. </w:t>
      </w:r>
    </w:p>
    <w:p>
      <w:pPr>
        <w:autoSpaceDN w:val="0"/>
        <w:autoSpaceDE w:val="0"/>
        <w:widowControl/>
        <w:spacing w:line="210" w:lineRule="exact" w:before="1398" w:after="0"/>
        <w:ind w:left="2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16"/>
        </w:rPr>
        <w:t>203</w:t>
      </w:r>
    </w:p>
    <w:p>
      <w:pPr>
        <w:sectPr>
          <w:type w:val="nextColumn"/>
          <w:pgSz w:w="12240" w:h="15840"/>
          <w:pgMar w:top="528" w:right="946" w:bottom="260" w:left="968" w:header="720" w:footer="720" w:gutter="0"/>
          <w:cols w:space="720" w:num="2" w:equalWidth="0"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8"/>
        <w:ind w:left="0" w:right="0"/>
      </w:pPr>
    </w:p>
    <w:p>
      <w:pPr>
        <w:sectPr>
          <w:pgSz w:w="12240" w:h="15840"/>
          <w:pgMar w:top="530" w:right="946" w:bottom="260" w:left="968" w:header="720" w:footer="720" w:gutter="0"/>
          <w:cols w:space="720" w:num="2" w:equalWidth="0"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44" w:after="60"/>
        <w:ind w:left="288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4. Distribution of respondent based parity in Gowa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42"/>
        <w:gridCol w:w="3442"/>
        <w:gridCol w:w="3442"/>
      </w:tblGrid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Parity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8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40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51.9 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2-3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59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33.8 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≥4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11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14.3 </w:t>
            </w:r>
          </w:p>
        </w:tc>
      </w:tr>
      <w:tr>
        <w:trPr>
          <w:trHeight w:hRule="exact" w:val="298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77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06" w:lineRule="exact" w:before="82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4 was described spreading of neonatal mortality cases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parity in Gowa district 2015. </w:t>
      </w:r>
    </w:p>
    <w:p>
      <w:pPr>
        <w:autoSpaceDN w:val="0"/>
        <w:autoSpaceDE w:val="0"/>
        <w:widowControl/>
        <w:spacing w:line="240" w:lineRule="auto" w:before="7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28950" cy="214502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45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114" w:after="0"/>
        <w:ind w:left="144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4.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parity in Gowa district 2015.</w:t>
      </w:r>
    </w:p>
    <w:p>
      <w:pPr>
        <w:autoSpaceDN w:val="0"/>
        <w:autoSpaceDE w:val="0"/>
        <w:widowControl/>
        <w:spacing w:line="208" w:lineRule="exact" w:before="66" w:after="0"/>
        <w:ind w:left="112" w:right="7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5, There were 50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respondents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(64.9%) were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pregnant less than 37 weeks and 27 respondents (35.1%) were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pregnant more than 37 weeks.</w:t>
      </w:r>
    </w:p>
    <w:p>
      <w:pPr>
        <w:autoSpaceDN w:val="0"/>
        <w:autoSpaceDE w:val="0"/>
        <w:widowControl/>
        <w:spacing w:line="206" w:lineRule="exact" w:before="136" w:after="62"/>
        <w:ind w:left="144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5. Distribution of respondent based gestational age in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42"/>
        <w:gridCol w:w="3442"/>
        <w:gridCol w:w="3442"/>
      </w:tblGrid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Gestational age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&lt; 37 weeks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50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64.9 </w:t>
            </w:r>
          </w:p>
        </w:tc>
      </w:tr>
      <w:tr>
        <w:trPr>
          <w:trHeight w:hRule="exact" w:val="296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≥37 weeks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27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35.1 </w:t>
            </w:r>
          </w:p>
        </w:tc>
      </w:tr>
      <w:tr>
        <w:trPr>
          <w:trHeight w:hRule="exact" w:val="298"/>
        </w:trPr>
        <w:tc>
          <w:tcPr>
            <w:tcW w:type="dxa" w:w="1672"/>
            <w:tcBorders>
              <w:start w:sz="3.1999999999999886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3.2000000000000455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77 </w:t>
            </w:r>
          </w:p>
        </w:tc>
        <w:tc>
          <w:tcPr>
            <w:tcW w:type="dxa" w:w="167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06" w:lineRule="exact" w:before="80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5 had described the spreading of neonatal mortality cases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gestational age in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Gowa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district in 2015. </w:t>
      </w:r>
    </w:p>
    <w:p>
      <w:pPr>
        <w:autoSpaceDN w:val="0"/>
        <w:autoSpaceDE w:val="0"/>
        <w:widowControl/>
        <w:spacing w:line="240" w:lineRule="auto" w:before="1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614930" cy="18440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844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530" w:right="946" w:bottom="260" w:left="968" w:header="720" w:footer="720" w:gutter="0"/>
          <w:cols w:space="720" w:num="2" w:equalWidth="0"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44" w:after="0"/>
        <w:ind w:left="288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5.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gestational age in Gowa district 2015.</w:t>
      </w:r>
    </w:p>
    <w:p>
      <w:pPr>
        <w:autoSpaceDN w:val="0"/>
        <w:autoSpaceDE w:val="0"/>
        <w:widowControl/>
        <w:spacing w:line="206" w:lineRule="exact" w:before="68" w:after="0"/>
        <w:ind w:left="360" w:right="8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6, More than half of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respondents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(54.2%) had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birth weight lower than 2500 gram and 33 respondents had birth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weight more than 2500 gram.</w:t>
      </w:r>
    </w:p>
    <w:p>
      <w:pPr>
        <w:autoSpaceDN w:val="0"/>
        <w:autoSpaceDE w:val="0"/>
        <w:widowControl/>
        <w:spacing w:line="208" w:lineRule="exact" w:before="132" w:after="62"/>
        <w:ind w:left="432" w:right="288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6. Distribution of respondent based birth weight in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000000000009" w:type="dxa"/>
      </w:tblPr>
      <w:tblGrid>
        <w:gridCol w:w="3442"/>
        <w:gridCol w:w="3442"/>
        <w:gridCol w:w="3442"/>
      </w:tblGrid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Birth weight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&lt; 2500 gram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39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64.9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≥2500 gram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33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45.8 </w:t>
            </w:r>
          </w:p>
        </w:tc>
      </w:tr>
      <w:tr>
        <w:trPr>
          <w:trHeight w:hRule="exact" w:val="300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72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08" w:lineRule="exact" w:before="8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6 showed spreading of neonatal mortality cases based on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birth weight in Gowa district. </w:t>
      </w:r>
    </w:p>
    <w:p>
      <w:pPr>
        <w:autoSpaceDN w:val="0"/>
        <w:autoSpaceDE w:val="0"/>
        <w:widowControl/>
        <w:spacing w:line="240" w:lineRule="auto" w:before="72" w:after="0"/>
        <w:ind w:left="3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2129" cy="21755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129" cy="2175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100" w:after="0"/>
        <w:ind w:left="288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6.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birth weight in Gowa district 2015.</w:t>
      </w:r>
    </w:p>
    <w:p>
      <w:pPr>
        <w:autoSpaceDN w:val="0"/>
        <w:autoSpaceDE w:val="0"/>
        <w:widowControl/>
        <w:spacing w:line="206" w:lineRule="exact" w:before="66" w:after="0"/>
        <w:ind w:left="360" w:right="9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7, Most of neonatal mortality was asphyxia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neonatorum, 35 cases (45.5%) and 2 cases (2.6%) had recorded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was due to neonatal tetanus.</w:t>
      </w:r>
    </w:p>
    <w:p>
      <w:pPr>
        <w:autoSpaceDN w:val="0"/>
        <w:autoSpaceDE w:val="0"/>
        <w:widowControl/>
        <w:spacing w:line="206" w:lineRule="exact" w:before="136" w:after="60"/>
        <w:ind w:left="288" w:right="0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7. Distribution of respondents based on death causes in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4.0000000000009" w:type="dxa"/>
      </w:tblPr>
      <w:tblGrid>
        <w:gridCol w:w="3442"/>
        <w:gridCol w:w="3442"/>
        <w:gridCol w:w="3442"/>
      </w:tblGrid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3.200000000000273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Death causes </w:t>
            </w:r>
          </w:p>
        </w:tc>
        <w:tc>
          <w:tcPr>
            <w:tcW w:type="dxa" w:w="1676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8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Low birth weight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26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33.8 </w:t>
            </w:r>
          </w:p>
        </w:tc>
      </w:tr>
      <w:tr>
        <w:trPr>
          <w:trHeight w:hRule="exact" w:val="504"/>
        </w:trPr>
        <w:tc>
          <w:tcPr>
            <w:tcW w:type="dxa" w:w="167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Asphyxia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neonatorum </w:t>
            </w:r>
          </w:p>
        </w:tc>
        <w:tc>
          <w:tcPr>
            <w:tcW w:type="dxa" w:w="1676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35 </w:t>
            </w:r>
          </w:p>
        </w:tc>
        <w:tc>
          <w:tcPr>
            <w:tcW w:type="dxa" w:w="16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45.5 </w:t>
            </w:r>
          </w:p>
        </w:tc>
      </w:tr>
      <w:tr>
        <w:trPr>
          <w:trHeight w:hRule="exact" w:val="504"/>
        </w:trPr>
        <w:tc>
          <w:tcPr>
            <w:tcW w:type="dxa" w:w="167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3.200000000000727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Congenital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abnormalities </w:t>
            </w:r>
          </w:p>
        </w:tc>
        <w:tc>
          <w:tcPr>
            <w:tcW w:type="dxa" w:w="1676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8 </w:t>
            </w:r>
          </w:p>
        </w:tc>
        <w:tc>
          <w:tcPr>
            <w:tcW w:type="dxa" w:w="1672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7276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10.4 </w:t>
            </w:r>
          </w:p>
        </w:tc>
      </w:tr>
      <w:tr>
        <w:trPr>
          <w:trHeight w:hRule="exact" w:val="298"/>
        </w:trPr>
        <w:tc>
          <w:tcPr>
            <w:tcW w:type="dxa" w:w="1670"/>
            <w:tcBorders>
              <w:start w:sz="4.0" w:val="single" w:color="#000000"/>
              <w:top w:sz="3.2000000000007276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Neonatal sepsis </w:t>
            </w:r>
          </w:p>
        </w:tc>
        <w:tc>
          <w:tcPr>
            <w:tcW w:type="dxa" w:w="1676"/>
            <w:tcBorders>
              <w:start w:sz="3.200000000000273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6 </w:t>
            </w:r>
          </w:p>
        </w:tc>
        <w:tc>
          <w:tcPr>
            <w:tcW w:type="dxa" w:w="1672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7.8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Neonatal tetanus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2.6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6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77 </w:t>
            </w:r>
          </w:p>
        </w:tc>
        <w:tc>
          <w:tcPr>
            <w:tcW w:type="dxa" w:w="167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08" w:lineRule="exact" w:before="78" w:after="0"/>
        <w:ind w:left="3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7 was described spreading of neonatal mortality cases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death causes in Gowa district. </w:t>
      </w:r>
    </w:p>
    <w:p>
      <w:pPr>
        <w:autoSpaceDN w:val="0"/>
        <w:autoSpaceDE w:val="0"/>
        <w:widowControl/>
        <w:spacing w:line="210" w:lineRule="exact" w:before="1874" w:after="0"/>
        <w:ind w:left="2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16"/>
        </w:rPr>
        <w:t>204</w:t>
      </w:r>
    </w:p>
    <w:p>
      <w:pPr>
        <w:sectPr>
          <w:type w:val="nextColumn"/>
          <w:pgSz w:w="12240" w:h="15840"/>
          <w:pgMar w:top="530" w:right="946" w:bottom="260" w:left="968" w:header="720" w:footer="720" w:gutter="0"/>
          <w:cols w:space="720" w:num="2" w:equalWidth="0"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32"/>
        <w:ind w:left="0" w:right="0"/>
      </w:pPr>
    </w:p>
    <w:p>
      <w:pPr>
        <w:sectPr>
          <w:pgSz w:w="12240" w:h="15840"/>
          <w:pgMar w:top="528" w:right="856" w:bottom="260" w:left="968" w:header="720" w:footer="720" w:gutter="0"/>
          <w:cols w:space="720" w:num="2" w:equalWidth="0"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93720" cy="21831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183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112" w:after="0"/>
        <w:ind w:left="144" w:right="288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7.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death causes in Gowa district 2015.</w:t>
      </w:r>
    </w:p>
    <w:p>
      <w:pPr>
        <w:autoSpaceDN w:val="0"/>
        <w:autoSpaceDE w:val="0"/>
        <w:widowControl/>
        <w:spacing w:line="208" w:lineRule="exact" w:before="64" w:after="0"/>
        <w:ind w:left="112" w:right="222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8, Most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of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respondents had birth delivery in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Puskesmas or auxiliary public health center (Pustu)  (46.8%) and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only 1 respondent (1.3%) had attended at maternity hospital. </w:t>
      </w:r>
    </w:p>
    <w:p>
      <w:pPr>
        <w:autoSpaceDN w:val="0"/>
        <w:autoSpaceDE w:val="0"/>
        <w:widowControl/>
        <w:spacing w:line="206" w:lineRule="exact" w:before="122" w:after="0"/>
        <w:ind w:left="112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8 had described spreading of neonatal mortality cases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birth places in Gowa district. </w:t>
      </w:r>
    </w:p>
    <w:p>
      <w:pPr>
        <w:autoSpaceDN w:val="0"/>
        <w:autoSpaceDE w:val="0"/>
        <w:widowControl/>
        <w:spacing w:line="206" w:lineRule="exact" w:before="422" w:after="58"/>
        <w:ind w:left="144" w:right="288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8. Distribution of respondents based on birth place in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3472"/>
        <w:gridCol w:w="3472"/>
        <w:gridCol w:w="3472"/>
      </w:tblGrid>
      <w:tr>
        <w:trPr>
          <w:trHeight w:hRule="exact" w:val="298"/>
        </w:trPr>
        <w:tc>
          <w:tcPr>
            <w:tcW w:type="dxa" w:w="2662"/>
            <w:tcBorders>
              <w:start w:sz="3.1999999999999886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Birth place </w:t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22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6"/>
        </w:trPr>
        <w:tc>
          <w:tcPr>
            <w:tcW w:type="dxa" w:w="2662"/>
            <w:tcBorders>
              <w:start w:sz="3.1999999999999886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House </w:t>
            </w:r>
          </w:p>
        </w:tc>
        <w:tc>
          <w:tcPr>
            <w:tcW w:type="dxa" w:w="113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19 </w:t>
            </w:r>
          </w:p>
        </w:tc>
        <w:tc>
          <w:tcPr>
            <w:tcW w:type="dxa" w:w="122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24.7 </w:t>
            </w:r>
          </w:p>
        </w:tc>
      </w:tr>
      <w:tr>
        <w:trPr>
          <w:trHeight w:hRule="exact" w:val="298"/>
        </w:trPr>
        <w:tc>
          <w:tcPr>
            <w:tcW w:type="dxa" w:w="2662"/>
            <w:tcBorders>
              <w:start w:sz="3.1999999999999886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Hospital </w:t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9 </w:t>
            </w:r>
          </w:p>
        </w:tc>
        <w:tc>
          <w:tcPr>
            <w:tcW w:type="dxa" w:w="122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11.7 </w:t>
            </w:r>
          </w:p>
        </w:tc>
      </w:tr>
      <w:tr>
        <w:trPr>
          <w:trHeight w:hRule="exact" w:val="296"/>
        </w:trPr>
        <w:tc>
          <w:tcPr>
            <w:tcW w:type="dxa" w:w="2662"/>
            <w:tcBorders>
              <w:start w:sz="3.1999999999999886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Maternity hospital </w:t>
            </w:r>
          </w:p>
        </w:tc>
        <w:tc>
          <w:tcPr>
            <w:tcW w:type="dxa" w:w="113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 </w:t>
            </w:r>
          </w:p>
        </w:tc>
        <w:tc>
          <w:tcPr>
            <w:tcW w:type="dxa" w:w="1228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1.3 </w:t>
            </w:r>
          </w:p>
        </w:tc>
      </w:tr>
      <w:tr>
        <w:trPr>
          <w:trHeight w:hRule="exact" w:val="712"/>
        </w:trPr>
        <w:tc>
          <w:tcPr>
            <w:tcW w:type="dxa" w:w="2662"/>
            <w:tcBorders>
              <w:start w:sz="3.1999999999999886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Community health center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(Puskesmas)/ auxiliary public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health center (Pustu) </w:t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36 </w:t>
            </w:r>
          </w:p>
        </w:tc>
        <w:tc>
          <w:tcPr>
            <w:tcW w:type="dxa" w:w="12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46.8 </w:t>
            </w:r>
          </w:p>
        </w:tc>
      </w:tr>
      <w:tr>
        <w:trPr>
          <w:trHeight w:hRule="exact" w:val="298"/>
        </w:trPr>
        <w:tc>
          <w:tcPr>
            <w:tcW w:type="dxa" w:w="2662"/>
            <w:tcBorders>
              <w:start w:sz="3.1999999999999886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Midwives practice </w:t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12 </w:t>
            </w:r>
          </w:p>
        </w:tc>
        <w:tc>
          <w:tcPr>
            <w:tcW w:type="dxa" w:w="12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15.6 </w:t>
            </w:r>
          </w:p>
        </w:tc>
      </w:tr>
      <w:tr>
        <w:trPr>
          <w:trHeight w:hRule="exact" w:val="296"/>
        </w:trPr>
        <w:tc>
          <w:tcPr>
            <w:tcW w:type="dxa" w:w="2662"/>
            <w:tcBorders>
              <w:start w:sz="3.1999999999999886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13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77 </w:t>
            </w:r>
          </w:p>
        </w:tc>
        <w:tc>
          <w:tcPr>
            <w:tcW w:type="dxa" w:w="122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1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40" w:lineRule="auto" w:before="7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157220" cy="21666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166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8" w:lineRule="exact" w:before="108" w:after="0"/>
        <w:ind w:left="144" w:right="288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8.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birth places in Gowa district 2015.</w:t>
      </w:r>
    </w:p>
    <w:p>
      <w:pPr>
        <w:sectPr>
          <w:type w:val="continuous"/>
          <w:pgSz w:w="12240" w:h="15840"/>
          <w:pgMar w:top="528" w:right="856" w:bottom="260" w:left="968" w:header="720" w:footer="720" w:gutter="0"/>
          <w:cols w:space="720" w:num="2" w:equalWidth="0"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32" w:after="0"/>
        <w:ind w:left="208" w:right="17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9, Most neonatal mortality occurred in hospital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were 44 respondents (57.1%) and lowest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neonatal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mortality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occurred at midwives practice, 4 respondents (5.2%).</w:t>
      </w:r>
    </w:p>
    <w:p>
      <w:pPr>
        <w:autoSpaceDN w:val="0"/>
        <w:autoSpaceDE w:val="0"/>
        <w:widowControl/>
        <w:spacing w:line="208" w:lineRule="exact" w:before="132" w:after="60"/>
        <w:ind w:left="432" w:right="432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9. Distribution of respondents based on neonatal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mortality location in Gowa district 2015.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45" w:type="dxa"/>
      </w:tblPr>
      <w:tblGrid>
        <w:gridCol w:w="3472"/>
        <w:gridCol w:w="3472"/>
        <w:gridCol w:w="3472"/>
      </w:tblGrid>
      <w:tr>
        <w:trPr>
          <w:trHeight w:hRule="exact" w:val="504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Neonatal mortality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location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4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84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>%</w:t>
            </w:r>
          </w:p>
        </w:tc>
      </w:tr>
      <w:tr>
        <w:trPr>
          <w:trHeight w:hRule="exact" w:val="298"/>
        </w:trPr>
        <w:tc>
          <w:tcPr>
            <w:tcW w:type="dxa" w:w="167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House </w:t>
            </w:r>
          </w:p>
        </w:tc>
        <w:tc>
          <w:tcPr>
            <w:tcW w:type="dxa" w:w="167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13 </w:t>
            </w:r>
          </w:p>
        </w:tc>
        <w:tc>
          <w:tcPr>
            <w:tcW w:type="dxa" w:w="16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16.9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Hospital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44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57.1 </w:t>
            </w:r>
          </w:p>
        </w:tc>
      </w:tr>
      <w:tr>
        <w:trPr>
          <w:trHeight w:hRule="exact" w:val="298"/>
        </w:trPr>
        <w:tc>
          <w:tcPr>
            <w:tcW w:type="dxa" w:w="167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Puskesmas/Pustu </w:t>
            </w:r>
          </w:p>
        </w:tc>
        <w:tc>
          <w:tcPr>
            <w:tcW w:type="dxa" w:w="167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16 </w:t>
            </w:r>
          </w:p>
        </w:tc>
        <w:tc>
          <w:tcPr>
            <w:tcW w:type="dxa" w:w="16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20.8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Midwives practice </w:t>
            </w:r>
          </w:p>
        </w:tc>
        <w:tc>
          <w:tcPr>
            <w:tcW w:type="dxa" w:w="167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4 </w:t>
            </w:r>
          </w:p>
        </w:tc>
        <w:tc>
          <w:tcPr>
            <w:tcW w:type="dxa" w:w="167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5.2 </w:t>
            </w:r>
          </w:p>
        </w:tc>
      </w:tr>
      <w:tr>
        <w:trPr>
          <w:trHeight w:hRule="exact" w:val="296"/>
        </w:trPr>
        <w:tc>
          <w:tcPr>
            <w:tcW w:type="dxa" w:w="1670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Total </w:t>
            </w:r>
          </w:p>
        </w:tc>
        <w:tc>
          <w:tcPr>
            <w:tcW w:type="dxa" w:w="167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77 </w:t>
            </w:r>
          </w:p>
        </w:tc>
        <w:tc>
          <w:tcPr>
            <w:tcW w:type="dxa" w:w="167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100.0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20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Source: Primary data, 2016 </w:t>
      </w:r>
    </w:p>
    <w:p>
      <w:pPr>
        <w:autoSpaceDN w:val="0"/>
        <w:autoSpaceDE w:val="0"/>
        <w:widowControl/>
        <w:spacing w:line="208" w:lineRule="exact" w:before="78" w:after="0"/>
        <w:ind w:left="208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9 had described spreading of neonatal mortality based on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neonatal mortality location in Gowa district. </w:t>
      </w:r>
    </w:p>
    <w:p>
      <w:pPr>
        <w:autoSpaceDN w:val="0"/>
        <w:autoSpaceDE w:val="0"/>
        <w:widowControl/>
        <w:spacing w:line="240" w:lineRule="auto" w:before="112" w:after="0"/>
        <w:ind w:left="2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78810" cy="22847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284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6" w:lineRule="exact" w:before="106" w:after="0"/>
        <w:ind w:left="144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9. Coverage map of neonatal mortality cases based on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neonatal mortality location in Gowa district 2015</w:t>
      </w:r>
    </w:p>
    <w:p>
      <w:pPr>
        <w:autoSpaceDN w:val="0"/>
        <w:autoSpaceDE w:val="0"/>
        <w:widowControl/>
        <w:spacing w:line="206" w:lineRule="exact" w:before="66" w:after="0"/>
        <w:ind w:left="208" w:right="18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Based on Table 10, The minimum distance for respondents to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reach Syed Yusuf and Thalia Irham hospitals were 0.53 km and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1.15 km. Meanwhile, longest distance from respondent’s house to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hospital were 54.45 km and 58.12 km. The average distance for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both hospitals were 19.41 km and 19.94 km. </w:t>
      </w:r>
    </w:p>
    <w:p>
      <w:pPr>
        <w:autoSpaceDN w:val="0"/>
        <w:autoSpaceDE w:val="0"/>
        <w:widowControl/>
        <w:spacing w:line="208" w:lineRule="exact" w:before="134" w:after="58"/>
        <w:ind w:left="288" w:right="288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Table 10. Distribution of respondents based on distance to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hospital in Gowa district 2015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.00000000000045" w:type="dxa"/>
      </w:tblPr>
      <w:tblGrid>
        <w:gridCol w:w="1488"/>
        <w:gridCol w:w="1488"/>
        <w:gridCol w:w="1488"/>
        <w:gridCol w:w="1488"/>
        <w:gridCol w:w="1488"/>
        <w:gridCol w:w="1488"/>
        <w:gridCol w:w="1488"/>
      </w:tblGrid>
      <w:tr>
        <w:trPr>
          <w:trHeight w:hRule="exact" w:val="298"/>
        </w:trPr>
        <w:tc>
          <w:tcPr>
            <w:tcW w:type="dxa" w:w="866"/>
            <w:vMerge w:val="restart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8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Hospital </w:t>
            </w:r>
          </w:p>
        </w:tc>
        <w:tc>
          <w:tcPr>
            <w:tcW w:type="dxa" w:w="554"/>
            <w:vMerge w:val="restart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28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n </w:t>
            </w:r>
          </w:p>
        </w:tc>
        <w:tc>
          <w:tcPr>
            <w:tcW w:type="dxa" w:w="3400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Distance (km) </w:t>
            </w:r>
          </w:p>
        </w:tc>
      </w:tr>
      <w:tr>
        <w:trPr>
          <w:trHeight w:hRule="exact" w:val="298"/>
        </w:trPr>
        <w:tc>
          <w:tcPr>
            <w:tcW w:type="dxa" w:w="1488"/>
            <w:vMerge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</w:tcPr>
          <w:p/>
        </w:tc>
        <w:tc>
          <w:tcPr>
            <w:tcW w:type="dxa" w:w="1488"/>
            <w:vMerge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</w:tcPr>
          <w:p/>
        </w:tc>
        <w:tc>
          <w:tcPr>
            <w:tcW w:type="dxa" w:w="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Min </w:t>
            </w:r>
          </w:p>
        </w:tc>
        <w:tc>
          <w:tcPr>
            <w:tcW w:type="dxa" w:w="62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Max </w:t>
            </w:r>
          </w:p>
        </w:tc>
        <w:tc>
          <w:tcPr>
            <w:tcW w:type="dxa" w:w="87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Median </w:t>
            </w:r>
          </w:p>
        </w:tc>
        <w:tc>
          <w:tcPr>
            <w:tcW w:type="dxa" w:w="6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Mean </w:t>
            </w:r>
          </w:p>
        </w:tc>
        <w:tc>
          <w:tcPr>
            <w:tcW w:type="dxa" w:w="6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0" w:right="0" w:firstLine="0"/>
              <w:jc w:val="center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9"/>
                <w:sz w:val="18"/>
              </w:rPr>
              <w:t xml:space="preserve">SD </w:t>
            </w:r>
          </w:p>
        </w:tc>
      </w:tr>
      <w:tr>
        <w:trPr>
          <w:trHeight w:hRule="exact" w:val="502"/>
        </w:trPr>
        <w:tc>
          <w:tcPr>
            <w:tcW w:type="dxa" w:w="86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Syekh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Yusuf </w:t>
            </w:r>
          </w:p>
        </w:tc>
        <w:tc>
          <w:tcPr>
            <w:tcW w:type="dxa" w:w="554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77 </w:t>
            </w:r>
          </w:p>
        </w:tc>
        <w:tc>
          <w:tcPr>
            <w:tcW w:type="dxa" w:w="62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0.53 </w:t>
            </w:r>
          </w:p>
        </w:tc>
        <w:tc>
          <w:tcPr>
            <w:tcW w:type="dxa" w:w="626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54.45 </w:t>
            </w:r>
          </w:p>
        </w:tc>
        <w:tc>
          <w:tcPr>
            <w:tcW w:type="dxa" w:w="878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13.27 </w:t>
            </w:r>
          </w:p>
        </w:tc>
        <w:tc>
          <w:tcPr>
            <w:tcW w:type="dxa" w:w="65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19.41 </w:t>
            </w:r>
          </w:p>
        </w:tc>
        <w:tc>
          <w:tcPr>
            <w:tcW w:type="dxa" w:w="62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7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17.23 </w:t>
            </w:r>
          </w:p>
        </w:tc>
      </w:tr>
      <w:tr>
        <w:trPr>
          <w:trHeight w:hRule="exact" w:val="506"/>
        </w:trPr>
        <w:tc>
          <w:tcPr>
            <w:tcW w:type="dxa" w:w="86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144" w:right="144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Thalia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Irham </w:t>
            </w:r>
          </w:p>
        </w:tc>
        <w:tc>
          <w:tcPr>
            <w:tcW w:type="dxa" w:w="554"/>
            <w:tcBorders>
              <w:start w:sz="3.200000000000273" w:val="single" w:color="#000000"/>
              <w:top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20"/>
            <w:tcBorders>
              <w:start w:sz="4.0" w:val="single" w:color="#000000"/>
              <w:top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1.15 </w:t>
            </w:r>
          </w:p>
        </w:tc>
        <w:tc>
          <w:tcPr>
            <w:tcW w:type="dxa" w:w="626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58.12 </w:t>
            </w:r>
          </w:p>
        </w:tc>
        <w:tc>
          <w:tcPr>
            <w:tcW w:type="dxa" w:w="878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12.42 </w:t>
            </w:r>
          </w:p>
        </w:tc>
        <w:tc>
          <w:tcPr>
            <w:tcW w:type="dxa" w:w="65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19.94 </w:t>
            </w:r>
          </w:p>
        </w:tc>
        <w:tc>
          <w:tcPr>
            <w:tcW w:type="dxa" w:w="62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8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18.51 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208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Source: Pr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imary d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ata, 2016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</w:t>
      </w:r>
    </w:p>
    <w:p>
      <w:pPr>
        <w:autoSpaceDN w:val="0"/>
        <w:autoSpaceDE w:val="0"/>
        <w:widowControl/>
        <w:spacing w:line="206" w:lineRule="exact" w:before="82" w:after="1002"/>
        <w:ind w:left="208" w:right="18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Figure 10 showed distribution of respondents by time (months) of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neonatal mortality in Gowa district. The time is months of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neonatal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mortality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which obtained from Puskesmas or hospital.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Highest neonatal mortality rate occurred in September at 12.52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per 1000 live births and lowest neonatal mortality occurred in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December at 2.10 per 1000 live births. </w:t>
      </w:r>
    </w:p>
    <w:p>
      <w:pPr>
        <w:sectPr>
          <w:type w:val="nextColumn"/>
          <w:pgSz w:w="12240" w:h="15840"/>
          <w:pgMar w:top="528" w:right="856" w:bottom="260" w:left="968" w:header="720" w:footer="720" w:gutter="0"/>
          <w:cols w:space="720" w:num="2" w:equalWidth="0"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5136" w:firstLine="0"/>
        <w:jc w:val="right"/>
      </w:pPr>
      <w:r>
        <w:rPr>
          <w:rFonts w:ascii="SimSun" w:hAnsi="SimSun" w:eastAsia="SimSun"/>
          <w:b w:val="0"/>
          <w:i w:val="0"/>
          <w:color w:val="000000"/>
          <w:sz w:val="16"/>
        </w:rPr>
        <w:t>205</w:t>
      </w:r>
    </w:p>
    <w:p>
      <w:pPr>
        <w:sectPr>
          <w:type w:val="continuous"/>
          <w:pgSz w:w="12240" w:h="15840"/>
          <w:pgMar w:top="528" w:right="856" w:bottom="260" w:left="968" w:header="720" w:footer="720" w:gutter="0"/>
          <w:cols w:space="720" w:num="1" w:equalWidth="0">
            <w:col w:w="10416" w:space="0"/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685800</wp:posOffset>
            </wp:positionV>
            <wp:extent cx="3073400" cy="17907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790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0.0" w:type="dxa"/>
      </w:tblPr>
      <w:tblGrid>
        <w:gridCol w:w="2547"/>
        <w:gridCol w:w="2547"/>
        <w:gridCol w:w="2547"/>
        <w:gridCol w:w="2547"/>
      </w:tblGrid>
      <w:tr>
        <w:trPr>
          <w:trHeight w:hRule="exact" w:val="524"/>
        </w:trPr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28" w:after="0"/>
              <w:ind w:left="0" w:right="26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6C6C6C"/>
                <w:sz w:val="18"/>
              </w:rPr>
              <w:t xml:space="preserve">Neonatal MOrtality 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12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6C6C6C"/>
                <w:sz w:val="18"/>
              </w:rPr>
              <w:t>15</w:t>
            </w:r>
          </w:p>
        </w:tc>
        <w:tc>
          <w:tcPr>
            <w:tcW w:type="dxa" w:w="4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4" w:after="0"/>
              <w:ind w:left="8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10.28 </w:t>
            </w:r>
          </w:p>
        </w:tc>
        <w:tc>
          <w:tcPr>
            <w:tcW w:type="dxa" w:w="5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358" w:right="1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There were 46.8% of respondents preferred Puskesmas or Pustu 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their birth delivery and only 1.3% of respondents preferred birth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delivery at maternity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18"/>
              </w:rPr>
              <w:t>hospital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. The factors in consideration of birth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delivery place included budget, distance to health centers, health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facilities, health services and environment. </w:t>
            </w:r>
          </w:p>
        </w:tc>
      </w:tr>
      <w:tr>
        <w:trPr>
          <w:trHeight w:hRule="exact" w:val="262"/>
        </w:trPr>
        <w:tc>
          <w:tcPr>
            <w:tcW w:type="dxa" w:w="2547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6C6C6C"/>
                <w:sz w:val="18"/>
              </w:rPr>
              <w:t>10</w:t>
            </w:r>
          </w:p>
        </w:tc>
        <w:tc>
          <w:tcPr>
            <w:tcW w:type="dxa" w:w="4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52" w:val="left"/>
              </w:tabs>
              <w:autoSpaceDE w:val="0"/>
              <w:widowControl/>
              <w:spacing w:line="190" w:lineRule="exact" w:before="80" w:after="0"/>
              <w:ind w:left="374" w:right="1152" w:firstLine="0"/>
              <w:jc w:val="left"/>
            </w:pP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12.52 </w:t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10.02 </w:t>
            </w:r>
          </w:p>
          <w:p>
            <w:pPr>
              <w:autoSpaceDN w:val="0"/>
              <w:tabs>
                <w:tab w:pos="1040" w:val="left"/>
                <w:tab w:pos="1352" w:val="left"/>
                <w:tab w:pos="1974" w:val="left"/>
              </w:tabs>
              <w:autoSpaceDE w:val="0"/>
              <w:widowControl/>
              <w:spacing w:line="274" w:lineRule="exact" w:before="0" w:after="0"/>
              <w:ind w:left="730" w:right="172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4.13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6.16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3.48 </w:t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4.51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7.49 </w:t>
            </w:r>
          </w:p>
          <w:p>
            <w:pPr>
              <w:autoSpaceDN w:val="0"/>
              <w:tabs>
                <w:tab w:pos="2906" w:val="left"/>
                <w:tab w:pos="3264" w:val="left"/>
              </w:tabs>
              <w:autoSpaceDE w:val="0"/>
              <w:widowControl/>
              <w:spacing w:line="250" w:lineRule="exact" w:before="0" w:after="0"/>
              <w:ind w:left="228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4.45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5.54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515151"/>
                <w:sz w:val="18"/>
              </w:rPr>
              <w:t xml:space="preserve">2.9 2.1 </w:t>
            </w:r>
          </w:p>
        </w:tc>
        <w:tc>
          <w:tcPr>
            <w:tcW w:type="dxa" w:w="2547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2547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90" w:after="0"/>
              <w:ind w:left="0" w:right="4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6C6C6C"/>
                <w:sz w:val="18"/>
              </w:rPr>
              <w:t>5</w:t>
            </w:r>
          </w:p>
        </w:tc>
        <w:tc>
          <w:tcPr>
            <w:tcW w:type="dxa" w:w="2547"/>
            <w:vMerge/>
            <w:tcBorders/>
          </w:tcPr>
          <w:p/>
        </w:tc>
        <w:tc>
          <w:tcPr>
            <w:tcW w:type="dxa" w:w="2547"/>
            <w:vMerge/>
            <w:tcBorders/>
          </w:tcPr>
          <w:p/>
        </w:tc>
      </w:tr>
      <w:tr>
        <w:trPr>
          <w:trHeight w:hRule="exact" w:val="620"/>
        </w:trPr>
        <w:tc>
          <w:tcPr>
            <w:tcW w:type="dxa" w:w="2547"/>
            <w:vMerge/>
            <w:tcBorders/>
          </w:tcPr>
          <w:p/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32" w:after="0"/>
              <w:ind w:left="0" w:right="42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6C6C6C"/>
                <w:sz w:val="18"/>
              </w:rPr>
              <w:t>0</w:t>
            </w:r>
          </w:p>
        </w:tc>
        <w:tc>
          <w:tcPr>
            <w:tcW w:type="dxa" w:w="2547"/>
            <w:vMerge/>
            <w:tcBorders/>
          </w:tcPr>
          <w:p/>
        </w:tc>
        <w:tc>
          <w:tcPr>
            <w:tcW w:type="dxa" w:w="5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0" w:after="0"/>
              <w:ind w:left="358" w:right="1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The result showed most neonatal mortality cases occurred in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hospital and lowest neonatal mortality cases occurred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midwifery practices. The neonatal mortality occurred was due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late in access to health centers. The short distance from house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Syekh Yusuf Hospital and Thalia Irham Hospital were 0.53 km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and 1.15 km and longest distance were 54.45 km and 58.13 km.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Malawi and Zambia, a study found distance to health care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9"/>
                <w:sz w:val="18"/>
              </w:rPr>
              <w:t xml:space="preserve">facilities with neonatal mortality [23]. </w:t>
            </w:r>
          </w:p>
        </w:tc>
      </w:tr>
      <w:tr>
        <w:trPr>
          <w:trHeight w:hRule="exact" w:val="520"/>
        </w:trPr>
        <w:tc>
          <w:tcPr>
            <w:tcW w:type="dxa" w:w="2547"/>
            <w:vMerge/>
            <w:tcBorders/>
          </w:tcPr>
          <w:p/>
        </w:tc>
        <w:tc>
          <w:tcPr>
            <w:tcW w:type="dxa" w:w="2547"/>
            <w:vMerge/>
            <w:tcBorders/>
          </w:tcPr>
          <w:p/>
        </w:tc>
        <w:tc>
          <w:tcPr>
            <w:tcW w:type="dxa" w:w="4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6" w:after="0"/>
              <w:ind w:left="0" w:right="1918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6C6C6C"/>
                <w:sz w:val="18"/>
              </w:rPr>
              <w:t xml:space="preserve">Month </w:t>
            </w:r>
          </w:p>
        </w:tc>
        <w:tc>
          <w:tcPr>
            <w:tcW w:type="dxa" w:w="2547"/>
            <w:vMerge/>
            <w:tcBorders/>
          </w:tcPr>
          <w:p/>
        </w:tc>
      </w:tr>
      <w:tr>
        <w:trPr>
          <w:trHeight w:hRule="exact" w:val="558"/>
        </w:trPr>
        <w:tc>
          <w:tcPr>
            <w:tcW w:type="dxa" w:w="2547"/>
            <w:vMerge/>
            <w:tcBorders/>
          </w:tcPr>
          <w:p/>
        </w:tc>
        <w:tc>
          <w:tcPr>
            <w:tcW w:type="dxa" w:w="2547"/>
            <w:vMerge/>
            <w:tcBorders/>
          </w:tcPr>
          <w:p/>
        </w:tc>
        <w:tc>
          <w:tcPr>
            <w:tcW w:type="dxa" w:w="4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50" w:after="0"/>
              <w:ind w:left="0" w:right="1570" w:firstLine="0"/>
              <w:jc w:val="right"/>
            </w:pPr>
            <w:r>
              <w:rPr>
                <w:rFonts w:ascii="Times New Roman" w:hAnsi="Times New Roman" w:eastAsia="Times New Roman"/>
                <w:b w:val="0"/>
                <w:i w:val="0"/>
                <w:color w:val="6C6C6C"/>
                <w:sz w:val="18"/>
              </w:rPr>
              <w:t>per 1000 live births</w:t>
            </w:r>
          </w:p>
        </w:tc>
        <w:tc>
          <w:tcPr>
            <w:tcW w:type="dxa" w:w="254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62"/>
        <w:ind w:left="0" w:right="0"/>
      </w:pPr>
    </w:p>
    <w:p>
      <w:pPr>
        <w:sectPr>
          <w:pgSz w:w="12240" w:h="15840"/>
          <w:pgMar w:top="528" w:right="972" w:bottom="262" w:left="1080" w:header="720" w:footer="720" w:gutter="0"/>
          <w:cols w:space="720" w:num="1" w:equalWidth="0">
            <w:col w:w="10188" w:space="0"/>
            <w:col w:w="10416" w:space="0"/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40" w:after="0"/>
        <w:ind w:left="144" w:right="144" w:firstLine="0"/>
        <w:jc w:val="center"/>
      </w:pP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 xml:space="preserve">Figure 10. Distribution of respondents based on neonatal </w:t>
      </w:r>
      <w:r>
        <w:rPr>
          <w:rFonts w:ascii="Times New Roman,Bold" w:hAnsi="Times New Roman,Bold" w:eastAsia="Times New Roman,Bold"/>
          <w:b/>
          <w:i w:val="0"/>
          <w:color w:val="000009"/>
          <w:sz w:val="18"/>
        </w:rPr>
        <w:t>mortality time in Gowa district 2015.</w:t>
      </w:r>
    </w:p>
    <w:p>
      <w:pPr>
        <w:autoSpaceDN w:val="0"/>
        <w:tabs>
          <w:tab w:pos="756" w:val="left"/>
          <w:tab w:pos="1514" w:val="left"/>
          <w:tab w:pos="1890" w:val="left"/>
          <w:tab w:pos="2628" w:val="left"/>
          <w:tab w:pos="3482" w:val="left"/>
          <w:tab w:pos="4406" w:val="left"/>
        </w:tabs>
        <w:autoSpaceDE w:val="0"/>
        <w:widowControl/>
        <w:spacing w:line="204" w:lineRule="exact" w:before="160" w:after="0"/>
        <w:ind w:left="0" w:right="0" w:firstLine="0"/>
        <w:jc w:val="left"/>
      </w:pP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>3.2</w:t>
      </w:r>
      <w:r>
        <w:rPr>
          <w:rFonts w:ascii="Times New Roman,Bold" w:hAnsi="Times New Roman,Bold" w:eastAsia="Times New Roman,Bold"/>
          <w:b/>
          <w:i w:val="0"/>
          <w:color w:val="000009"/>
          <w:sz w:val="24"/>
        </w:rPr>
        <w:t xml:space="preserve">Overall Discussion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The result found 71.2% respondents had ANC visits more than 4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times and 28.8% of respondents had ANC visits less than 4 times.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 study found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pregnant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women had ANC visit less than 4 times at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risk of 7.3 times greater than pregnant women had ANC visits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more than 4 times [13]. The ANC behavior had influenced by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various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factors.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Kenya,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maternal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education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level,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socioeconomic, transportation and distance to health facilities had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influenced pregnant women in ANC visits [14]. The lack in health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facilities also contributed in neonatal mortality. In additions,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inappropriate neonatal care due to lack of maternal knowledge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also increase risk in neonatal mortality [15]. </w:t>
      </w:r>
    </w:p>
    <w:p>
      <w:pPr>
        <w:autoSpaceDN w:val="0"/>
        <w:autoSpaceDE w:val="0"/>
        <w:widowControl/>
        <w:spacing w:line="206" w:lineRule="exact" w:before="122" w:after="0"/>
        <w:ind w:left="0" w:right="5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 this study, 81.9% of respondents had TT vaccination for 2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times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during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their pregnancy period. This vaccination has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prevented infants from tetanus neonatorum but not for other death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causes included asphyxia neonatorum and LBW. The proper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medical handling could reduce birth complications [16]. Most of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birth attendances were midwives and lowest of birth attendances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were traditional healer and friend or family members with 2.6%.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 this study, most pregnant women are assisted by health workers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in their birth delivery. The neonatal mortality had high risk in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birth delivery with health workers than non-health workers [17]. </w:t>
      </w:r>
    </w:p>
    <w:p>
      <w:pPr>
        <w:autoSpaceDN w:val="0"/>
        <w:autoSpaceDE w:val="0"/>
        <w:widowControl/>
        <w:spacing w:line="208" w:lineRule="exact" w:before="120" w:after="0"/>
        <w:ind w:left="0" w:right="58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Besides, 33.8% of respondents had parity of 2- 3 and 14.3 % of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respondents had parity more than 4. The parity 2 or 3 is safest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parity in maternal and perinatal mortality [18]. High parity more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than 3 had high risk in 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maternal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mortality rate. High parity could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prevent by family planning. Some pregnancies at high parity are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unplanned. Besides, repetitive pregnancy and childbirth also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caused damage to blood vessels in uterine lining. </w:t>
      </w:r>
    </w:p>
    <w:p>
      <w:pPr>
        <w:autoSpaceDN w:val="0"/>
        <w:autoSpaceDE w:val="0"/>
        <w:widowControl/>
        <w:spacing w:line="206" w:lineRule="exact" w:before="122" w:after="0"/>
        <w:ind w:left="0" w:right="56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The result also showed 64.9% of respondents had gestational age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less than 37 weeks and 35.1% of respondents had gestational age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more than 37 weeks. In Kenya, premature infants had high risk in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neonatal mortality shortly after birth [19]. Based on this study,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54.25% of respondents had LBW less than 2500 gram and 45.8%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of respondents had birth weight more than 2500 gram. The LBW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had high tendency toward in birth complications such as jaundice,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hypoglycemia and hypothermia. In Cameroon, infants had LBW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had 1.6 times greater risk in neonatal mortality than infants had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normal birth weight [9]. </w:t>
      </w:r>
    </w:p>
    <w:p>
      <w:pPr>
        <w:autoSpaceDN w:val="0"/>
        <w:autoSpaceDE w:val="0"/>
        <w:widowControl/>
        <w:spacing w:line="206" w:lineRule="exact" w:before="12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Furthermore, the result found most common cause of neonatal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mortality was neonatal asphyxia which was 45.5%. In Bangladesh,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highest neonatal mortality cases were due to asphyxia neonatorum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[20,21]. In additions, insufficient monitoring by health workers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was among factors associated with asphyxia-induced mortality in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South Africa [22]. </w:t>
      </w:r>
    </w:p>
    <w:p>
      <w:pPr>
        <w:sectPr>
          <w:type w:val="continuous"/>
          <w:pgSz w:w="12240" w:h="15840"/>
          <w:pgMar w:top="528" w:right="972" w:bottom="262" w:left="1080" w:header="720" w:footer="720" w:gutter="0"/>
          <w:cols w:space="720" w:num="2" w:equalWidth="0">
            <w:col w:w="4904" w:space="0"/>
            <w:col w:w="5284" w:space="0"/>
            <w:col w:w="10188" w:space="0"/>
            <w:col w:w="10416" w:space="0"/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16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16"/>
        </w:rPr>
        <w:t>206</w:t>
      </w:r>
    </w:p>
    <w:p>
      <w:pPr>
        <w:sectPr>
          <w:type w:val="nextColumn"/>
          <w:pgSz w:w="12240" w:h="15840"/>
          <w:pgMar w:top="528" w:right="972" w:bottom="262" w:left="1080" w:header="720" w:footer="720" w:gutter="0"/>
          <w:cols w:space="720" w:num="2" w:equalWidth="0">
            <w:col w:w="4904" w:space="0"/>
            <w:col w:w="5284" w:space="0"/>
            <w:col w:w="10188" w:space="0"/>
            <w:col w:w="10416" w:space="0"/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06"/>
        <w:ind w:left="0" w:right="0"/>
      </w:pPr>
    </w:p>
    <w:p>
      <w:pPr>
        <w:sectPr>
          <w:pgSz w:w="12240" w:h="15840"/>
          <w:pgMar w:top="528" w:right="964" w:bottom="262" w:left="1080" w:header="720" w:footer="720" w:gutter="0"/>
          <w:cols w:space="720" w:num="2" w:equalWidth="0">
            <w:col w:w="4904" w:space="0"/>
            <w:col w:w="5284" w:space="0"/>
            <w:col w:w="10188" w:space="0"/>
            <w:col w:w="10416" w:space="0"/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3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[9]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Chiabi, A. et al. (2014). Risk factors for neonatal mortality at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the Yaounde Gynaeco-Obstetric and Pediatric Hospital, </w:t>
      </w:r>
      <w:r>
        <w:br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Cameroon. 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>Iranian journal of Pediatrics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, 24, 393-400. </w:t>
      </w:r>
    </w:p>
    <w:p>
      <w:pPr>
        <w:autoSpaceDN w:val="0"/>
        <w:tabs>
          <w:tab w:pos="360" w:val="left"/>
        </w:tabs>
        <w:autoSpaceDE w:val="0"/>
        <w:widowControl/>
        <w:spacing w:line="208" w:lineRule="exact" w:before="78" w:after="0"/>
        <w:ind w:left="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[10]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Anggraini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, A. et al. (2012). Faktor risiko kematian neonatus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dengan penyakit membran hialin.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>Sari Pediatri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, 15, 75-80. </w:t>
      </w:r>
    </w:p>
    <w:p>
      <w:pPr>
        <w:autoSpaceDN w:val="0"/>
        <w:autoSpaceDE w:val="0"/>
        <w:widowControl/>
        <w:spacing w:line="208" w:lineRule="exact" w:before="78" w:after="0"/>
        <w:ind w:left="360" w:right="432" w:hanging="36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[11]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Yani, D. F. et al. (2013). Pelayanan kesehatan ibu dan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kematian neonatal.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 xml:space="preserve">Kesmas: Jurnal Kesehatan Masyarat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 xml:space="preserve">Nasional,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7, 373-377. </w:t>
      </w:r>
    </w:p>
    <w:p>
      <w:pPr>
        <w:autoSpaceDN w:val="0"/>
        <w:autoSpaceDE w:val="0"/>
        <w:widowControl/>
        <w:spacing w:line="206" w:lineRule="exact" w:before="80" w:after="0"/>
        <w:ind w:left="0" w:right="576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[12]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Masni et al. (2014). Faktor risiko kematian neonatal di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Kabupaten Morowali provinsi Sulawesi Tengah. </w:t>
      </w:r>
    </w:p>
    <w:p>
      <w:pPr>
        <w:autoSpaceDN w:val="0"/>
        <w:tabs>
          <w:tab w:pos="360" w:val="left"/>
        </w:tabs>
        <w:autoSpaceDE w:val="0"/>
        <w:widowControl/>
        <w:spacing w:line="206" w:lineRule="exact" w:before="82" w:after="0"/>
        <w:ind w:left="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[13]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Abdullah, A. et al. (2015). Faktor risiko kematian neonatal di </w:t>
      </w:r>
      <w:r>
        <w:tab/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provinsi Nusa Tenggara Timur: a matched case-control study. </w:t>
      </w:r>
    </w:p>
    <w:p>
      <w:pPr>
        <w:autoSpaceDN w:val="0"/>
        <w:autoSpaceDE w:val="0"/>
        <w:widowControl/>
        <w:spacing w:line="208" w:lineRule="exact" w:before="12" w:after="0"/>
        <w:ind w:left="360" w:right="432" w:firstLine="0"/>
        <w:jc w:val="left"/>
      </w:pP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 xml:space="preserve">NTT: Australia Indonesia Partnership for Maternal and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>Neonatal Health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. </w:t>
      </w:r>
    </w:p>
    <w:p>
      <w:pPr>
        <w:autoSpaceDN w:val="0"/>
        <w:autoSpaceDE w:val="0"/>
        <w:widowControl/>
        <w:spacing w:line="208" w:lineRule="exact" w:before="80" w:after="0"/>
        <w:ind w:left="360" w:right="580" w:hanging="360"/>
        <w:jc w:val="both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[14]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Eijk, A. M. et al. (2006). Use of antenatal services and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delivery care among women in rural western Kenya: a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community based survey.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>Reproductive Health,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6. </w:t>
      </w:r>
    </w:p>
    <w:p>
      <w:pPr>
        <w:autoSpaceDN w:val="0"/>
        <w:autoSpaceDE w:val="0"/>
        <w:widowControl/>
        <w:spacing w:line="206" w:lineRule="exact" w:before="80" w:after="0"/>
        <w:ind w:left="360" w:right="0" w:hanging="36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[15]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Ayaz, A. et al. (2010). Neonatal mortality and prevalence of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practices for newborn care in a squatter settlement of Karachi,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Pakistan: a cross-sectional study.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 xml:space="preserve">PLoS ONE,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5, e13783. </w:t>
      </w:r>
    </w:p>
    <w:p>
      <w:pPr>
        <w:autoSpaceDN w:val="0"/>
        <w:autoSpaceDE w:val="0"/>
        <w:widowControl/>
        <w:spacing w:line="206" w:lineRule="exact" w:before="80" w:after="0"/>
        <w:ind w:left="360" w:right="144" w:hanging="360"/>
        <w:jc w:val="left"/>
      </w:pP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>[16]</w:t>
      </w:r>
      <w:r>
        <w:rPr>
          <w:rFonts w:ascii="Times New Roman" w:hAnsi="Times New Roman" w:eastAsia="Times New Roman"/>
          <w:b w:val="0"/>
          <w:i w:val="0"/>
          <w:color w:val="000000"/>
          <w:sz w:val="18"/>
        </w:rPr>
        <w:t>Kementerian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Kesehatan Republik Indonesia. (2013).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 xml:space="preserve">Profil </w:t>
      </w:r>
      <w:r>
        <w:rPr>
          <w:rFonts w:ascii="Times New Roman,Italic" w:hAnsi="Times New Roman,Italic" w:eastAsia="Times New Roman,Italic"/>
          <w:b w:val="0"/>
          <w:i/>
          <w:color w:val="000009"/>
          <w:sz w:val="18"/>
        </w:rPr>
        <w:t>kesehatan Indonesia 2012.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 Jakarta: Kementerian Kesehatan </w:t>
      </w:r>
      <w:r>
        <w:rPr>
          <w:rFonts w:ascii="Times New Roman" w:hAnsi="Times New Roman" w:eastAsia="Times New Roman"/>
          <w:b w:val="0"/>
          <w:i w:val="0"/>
          <w:color w:val="000009"/>
          <w:sz w:val="18"/>
        </w:rPr>
        <w:t xml:space="preserve">Republik Indonesia. </w:t>
      </w:r>
    </w:p>
    <w:p>
      <w:pPr>
        <w:sectPr>
          <w:type w:val="continuous"/>
          <w:pgSz w:w="12240" w:h="15840"/>
          <w:pgMar w:top="528" w:right="964" w:bottom="262" w:left="1080" w:header="720" w:footer="720" w:gutter="0"/>
          <w:cols w:space="720" w:num="2" w:equalWidth="0">
            <w:col w:w="4908" w:space="0"/>
            <w:col w:w="5288" w:space="0"/>
            <w:col w:w="4904" w:space="0"/>
            <w:col w:w="5284" w:space="0"/>
            <w:col w:w="10188" w:space="0"/>
            <w:col w:w="10416" w:space="0"/>
            <w:col w:w="5182" w:space="0"/>
            <w:col w:w="5234" w:space="0"/>
            <w:col w:w="5029" w:space="0"/>
            <w:col w:w="5296" w:space="0"/>
            <w:col w:w="5029" w:space="0"/>
            <w:col w:w="5296" w:space="0"/>
            <w:col w:w="4904" w:space="0"/>
            <w:col w:w="5248" w:space="0"/>
            <w:col w:w="1015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12" w:right="0" w:firstLine="0"/>
        <w:jc w:val="left"/>
      </w:pPr>
      <w:r>
        <w:rPr>
          <w:rFonts w:ascii="SimSun" w:hAnsi="SimSun" w:eastAsia="SimSun"/>
          <w:b w:val="0"/>
          <w:i w:val="0"/>
          <w:color w:val="000000"/>
          <w:sz w:val="16"/>
        </w:rPr>
        <w:t>207</w:t>
      </w:r>
    </w:p>
    <w:sectPr w:rsidR="00FC693F" w:rsidRPr="0006063C" w:rsidSect="00034616">
      <w:type w:val="nextColumn"/>
      <w:pgSz w:w="12240" w:h="15840"/>
      <w:pgMar w:top="528" w:right="964" w:bottom="262" w:left="1080" w:header="720" w:footer="720" w:gutter="0"/>
      <w:cols w:space="720" w:num="2" w:equalWidth="0">
        <w:col w:w="4908" w:space="0"/>
        <w:col w:w="5288" w:space="0"/>
        <w:col w:w="4904" w:space="0"/>
        <w:col w:w="5284" w:space="0"/>
        <w:col w:w="10188" w:space="0"/>
        <w:col w:w="10416" w:space="0"/>
        <w:col w:w="5182" w:space="0"/>
        <w:col w:w="5234" w:space="0"/>
        <w:col w:w="5029" w:space="0"/>
        <w:col w:w="5296" w:space="0"/>
        <w:col w:w="5029" w:space="0"/>
        <w:col w:w="5296" w:space="0"/>
        <w:col w:w="4904" w:space="0"/>
        <w:col w:w="5248" w:space="0"/>
        <w:col w:w="101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