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414" w:lineRule="exact" w:before="82" w:after="0"/>
        <w:ind w:left="0" w:right="0" w:firstLine="0"/>
        <w:jc w:val="center"/>
      </w:pPr>
      <w:r>
        <w:rPr>
          <w:rFonts w:ascii="Helvetica,Bold" w:hAnsi="Helvetica,Bold" w:eastAsia="Helvetica,Bold"/>
          <w:b/>
          <w:i w:val="0"/>
          <w:color w:val="000000"/>
          <w:sz w:val="36"/>
        </w:rPr>
        <w:t xml:space="preserve">Summarize the Etiology and Epidemiology Characteristics </w:t>
      </w:r>
      <w:r>
        <w:rPr>
          <w:rFonts w:ascii="Helvetica,Bold" w:hAnsi="Helvetica,Bold" w:eastAsia="Helvetica,Bold"/>
          <w:b/>
          <w:i w:val="0"/>
          <w:color w:val="000000"/>
          <w:sz w:val="36"/>
        </w:rPr>
        <w:t xml:space="preserve">of the New Coronavirus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Sicheng Shen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Ravenscroft School Student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7909 hardwick drive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+1 9197856563 </w:t>
      </w:r>
    </w:p>
    <w:p>
      <w:pPr>
        <w:autoSpaceDN w:val="0"/>
        <w:autoSpaceDE w:val="0"/>
        <w:widowControl/>
        <w:spacing w:line="330" w:lineRule="exact" w:before="0" w:after="568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Seanshen4@gmail.com </w:t>
      </w:r>
    </w:p>
    <w:p>
      <w:pPr>
        <w:sectPr>
          <w:pgSz w:w="12240" w:h="15840"/>
          <w:pgMar w:top="516" w:right="974" w:bottom="262" w:left="1080" w:header="720" w:footer="720" w:gutter="0"/>
          <w:cols w:space="720" w:num="1" w:equalWidth="0"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12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Until May 16th, there are more than four million people who have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been confirmed of the Covid-19 virus in the whole world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311,739 of total deaths. The virus caused disastrous effects in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economy around the whole world, destroying small businesses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and the stock market, ruining international transportation,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devastating the morale of the people and prohibiting people from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interacting and socializing. Considering these huge impacts that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virus made, on March, 12, 2020, the World Health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Organization (WHO) characterized the Covid-19 caused by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Sars-CoV-2 virus as a global pandemic. There is not an effective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vaccination or specific medicine to cure the disease. The most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effective way to slow down the transmission is early detection,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isolation of new carriers and operating proper treatment to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patients. Thus, the research on the physical properties and clinical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characteristics of the Covid-19 become significantly important. To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prepare for the future prevention, this paper summarizes the </w:t>
      </w:r>
    </w:p>
    <w:p>
      <w:pPr>
        <w:autoSpaceDN w:val="0"/>
        <w:autoSpaceDE w:val="0"/>
        <w:widowControl/>
        <w:spacing w:line="245" w:lineRule="auto" w:before="0" w:after="0"/>
        <w:ind w:left="0" w:right="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overall treatment of the virus, mainly through the virus’s origin,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etiology, epidemiology, and clinical symptoms to inform readers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more about the Covid-19, eliminate misunderstanding and bias to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virus, invoke the sense of self-protection and finally use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scientific and logical methods to overcome this world-wide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pandemic. </w:t>
      </w:r>
    </w:p>
    <w:p>
      <w:pPr>
        <w:autoSpaceDN w:val="0"/>
        <w:autoSpaceDE w:val="0"/>
        <w:widowControl/>
        <w:spacing w:line="206" w:lineRule="exact" w:before="21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CCS Concept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Applied computing</w:t>
      </w:r>
      <w:r>
        <w:rPr>
          <w:rFonts w:ascii="MS Mincho" w:hAnsi="MS Mincho" w:eastAsia="MS Mincho"/>
          <w:b w:val="0"/>
          <w:i w:val="0"/>
          <w:color w:val="000000"/>
          <w:sz w:val="16"/>
        </w:rPr>
        <w:t>➝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Life and medical sciences</w:t>
      </w:r>
      <w:r>
        <w:rPr>
          <w:rFonts w:ascii="MS Mincho" w:hAnsi="MS Mincho" w:eastAsia="MS Mincho"/>
          <w:b w:val="0"/>
          <w:i w:val="0"/>
          <w:color w:val="000000"/>
          <w:sz w:val="16"/>
        </w:rPr>
        <w:t>➝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 xml:space="preserve">Health 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 xml:space="preserve">informatics </w:t>
      </w:r>
    </w:p>
    <w:p>
      <w:pPr>
        <w:autoSpaceDN w:val="0"/>
        <w:autoSpaceDE w:val="0"/>
        <w:widowControl/>
        <w:spacing w:line="182" w:lineRule="exact" w:before="224" w:after="0"/>
        <w:ind w:left="0" w:right="158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Keywords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Sars-CoV2; etiology; epidemiology; disease </w:t>
      </w:r>
    </w:p>
    <w:p>
      <w:pPr>
        <w:autoSpaceDN w:val="0"/>
        <w:autoSpaceDE w:val="0"/>
        <w:widowControl/>
        <w:spacing w:line="204" w:lineRule="exact" w:before="21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Until May 16th, there are more than four million people who have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been confirmed of the Covid-19 virus in the whole world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311,739 of total deaths. The virus caused disastrous effects in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economy around the whole world, destroying small businesses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and the stock market, ruining international transportation,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devastating the morale of the people and prohibiting people from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interacting and socializing. Considering these huge impacts that </w:t>
      </w:r>
    </w:p>
    <w:p>
      <w:pPr>
        <w:autoSpaceDN w:val="0"/>
        <w:autoSpaceDE w:val="0"/>
        <w:widowControl/>
        <w:spacing w:line="245" w:lineRule="auto" w:before="50" w:after="0"/>
        <w:ind w:left="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Permission to make digital or hard copies of all or part of this work for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personal or classroom use is granted without fee provided that copies are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not made or distributed for profit or commercial advantage and that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copies bear this notice and the full citation on the first page. Copyrights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for components of this work owned by others than ACM must be honored.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Abstracting with credit is permitted. To copy otherwise, or republish, to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post on servers or to redistribute to lists, requires prior specific permission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and/or a fee. Request permissions from Permissions@acm.org. </w:t>
      </w:r>
    </w:p>
    <w:p>
      <w:pPr>
        <w:autoSpaceDN w:val="0"/>
        <w:autoSpaceDE w:val="0"/>
        <w:widowControl/>
        <w:spacing w:line="186" w:lineRule="exact" w:before="26" w:after="0"/>
        <w:ind w:left="22" w:right="1008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16"/>
        </w:rPr>
        <w:t>ICMHI 202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0, August 14–16, 2020, Kamakura City, Japan 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© 2020 Association for Computing Machinery. </w:t>
      </w:r>
    </w:p>
    <w:p>
      <w:pPr>
        <w:autoSpaceDN w:val="0"/>
        <w:autoSpaceDE w:val="0"/>
        <w:widowControl/>
        <w:spacing w:line="259" w:lineRule="auto" w:before="0" w:after="0"/>
        <w:ind w:left="22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ACM ISBN 978-1-4503-7776-8/20/08…$15.00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https://doi.org/10.1145/3418094.3418142 </w:t>
      </w:r>
    </w:p>
    <w:p>
      <w:pPr>
        <w:sectPr>
          <w:type w:val="continuous"/>
          <w:pgSz w:w="12240" w:h="15840"/>
          <w:pgMar w:top="516" w:right="974" w:bottom="262" w:left="1080" w:header="720" w:footer="720" w:gutter="0"/>
          <w:cols w:space="720" w:num="2" w:equalWidth="0"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2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>218</w:t>
      </w:r>
    </w:p>
    <w:p>
      <w:pPr>
        <w:sectPr>
          <w:type w:val="nextColumn"/>
          <w:pgSz w:w="12240" w:h="15840"/>
          <w:pgMar w:top="516" w:right="974" w:bottom="262" w:left="1080" w:header="720" w:footer="720" w:gutter="0"/>
          <w:cols w:space="720" w:num="2" w:equalWidth="0"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severe symptoms, becomes one of the most difficult viruses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deal with during the 21th century. </w:t>
      </w:r>
    </w:p>
    <w:p>
      <w:pPr>
        <w:autoSpaceDN w:val="0"/>
        <w:autoSpaceDE w:val="0"/>
        <w:widowControl/>
        <w:spacing w:line="240" w:lineRule="auto" w:before="1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98670" cy="2251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25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exact" w:before="9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 xml:space="preserve">Figure 1(a).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structure of the Sars-CoV2 under electron microscope 9] </w:t>
      </w:r>
    </w:p>
    <w:p>
      <w:pPr>
        <w:autoSpaceDN w:val="0"/>
        <w:autoSpaceDE w:val="0"/>
        <w:widowControl/>
        <w:spacing w:line="252" w:lineRule="exact" w:before="7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 xml:space="preserve">Figure1 (b)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animated inner structure of Sars-CoV2 [10] </w:t>
      </w:r>
    </w:p>
    <w:p>
      <w:pPr>
        <w:autoSpaceDN w:val="0"/>
        <w:autoSpaceDE w:val="0"/>
        <w:widowControl/>
        <w:spacing w:line="240" w:lineRule="auto" w:before="10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198620" cy="30403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040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8" w:lineRule="exact" w:before="152" w:after="318"/>
        <w:ind w:left="288" w:right="28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 xml:space="preserve">Figure 2. [13] Lineage of coronavirus graph, which the letters marked as red represent the cluster that the new Coronavirus 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belongs to</w:t>
      </w:r>
    </w:p>
    <w:p>
      <w:pPr>
        <w:sectPr>
          <w:pgSz w:w="12240" w:h="15840"/>
          <w:pgMar w:top="528" w:right="1014" w:bottom="262" w:left="1080" w:header="720" w:footer="720" w:gutter="0"/>
          <w:cols w:space="720" w:num="1" w:equalWidth="0"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1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Etiology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Figure 1 (a) shows Covid-19’s structure under the electronic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macroscope. Under the scope, the virus is in a relatively circular </w:t>
      </w:r>
    </w:p>
    <w:p>
      <w:pPr>
        <w:autoSpaceDN w:val="0"/>
        <w:autoSpaceDE w:val="0"/>
        <w:widowControl/>
        <w:spacing w:line="245" w:lineRule="auto" w:before="0" w:after="0"/>
        <w:ind w:left="0" w:right="3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shape. Figure 1(b) shows a diagram of the virus’ inner structure.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virus is an enveloped, multi-shaped or round shaped single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RNA virus with a radius usually ranging from 150 to 160nm.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virus contains positive-sense single-stranded RNA, unsegmented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capsid, matrix, Nucleoproteins, and S proteins [11]. By tracing its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ancestry and relatives, scientists discovered that Sars-CoV2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belongs to cluster three of the sabecovirus subgenus as figure 2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describes [12] </w:t>
      </w:r>
    </w:p>
    <w:p>
      <w:pPr>
        <w:sectPr>
          <w:type w:val="continuous"/>
          <w:pgSz w:w="12240" w:h="15840"/>
          <w:pgMar w:top="528" w:right="1014" w:bottom="262" w:left="1080" w:header="720" w:footer="720" w:gutter="0"/>
          <w:cols w:space="720" w:num="2" w:equalWidth="0"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3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>219</w:t>
      </w:r>
    </w:p>
    <w:p>
      <w:pPr>
        <w:sectPr>
          <w:type w:val="nextColumn"/>
          <w:pgSz w:w="12240" w:h="15840"/>
          <w:pgMar w:top="528" w:right="1014" w:bottom="262" w:left="1080" w:header="720" w:footer="720" w:gutter="0"/>
          <w:cols w:space="720" w:num="2" w:equalWidth="0"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2240" w:h="15840"/>
          <w:pgMar w:top="528" w:right="968" w:bottom="260" w:left="1080" w:header="720" w:footer="720" w:gutter="0"/>
          <w:cols w:space="720" w:num="2" w:equalWidth="0"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subunits of the Sars-CoV in the 2004 pandemic [15]. However,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compared to Sars-CoV, Covid-19 contains longer spike proteins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made by S1 and S2 which are essential for the virus to confirm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host’s target and transmission ability [16]. Thus the complex spike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proteins can help Covid-19 to find the best host that can transmit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virus quickly. Covid-19 viruses are fragile to ultraviolet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high temperatures. It can be destroyed by exposure of 56 Celsius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degrees for thirty minutes. Also some solutions such as ether, 75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percent ethanol, disinfectant containing Chlorine, peracetic acid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can all kill the virus effectively [17]. </w:t>
      </w:r>
    </w:p>
    <w:p>
      <w:pPr>
        <w:autoSpaceDN w:val="0"/>
        <w:autoSpaceDE w:val="0"/>
        <w:widowControl/>
        <w:spacing w:line="210" w:lineRule="exact" w:before="21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Epidemiological Characteristics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3.1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Introduce to R0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R0, the basic reproduction number, usually recognized by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scientists to measure the transmission ability of a certain disease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by measuring a variable using a well-designed equation. If R0 is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smaller than 1, which means the disease would disappear slowly.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If R0 equals to 1, the disease would become a regional pandemic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that does not transmit to other places. If R0 is larger than 1,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disease would transmit exponentially and become a global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pandemic [18]. The R0 of the Covid-19 is between 2.2 to 3.8,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which exceeds the 1 line of R0 by 1.2 to 2.8 proving its high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transmission ability [19]. However, the c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oronavirus is not very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contagious compared to the measles and </w:t>
      </w:r>
      <w:r>
        <w:rPr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>diphtheria, which have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</w:t>
      </w:r>
      <w:r>
        <w:rPr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 xml:space="preserve">Ro numbers between 12-18, and 6-7 </w:t>
      </w:r>
      <w:r>
        <w:rPr>
          <w:shd w:val="clear" w:color="auto" w:fill="f8f8f9"/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>[20], [21]. However,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</w:t>
      </w:r>
      <w:r>
        <w:rPr>
          <w:shd w:val="clear" w:color="auto" w:fill="f8f8f9"/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>scientists have already developed effective medicine and vaccines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</w:t>
      </w:r>
      <w:r>
        <w:rPr>
          <w:shd w:val="clear" w:color="auto" w:fill="f8f8f9"/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 xml:space="preserve">to cure such diseases and the government have </w:t>
      </w:r>
      <w:r>
        <w:rPr>
          <w:shd w:val="clear" w:color="auto" w:fill="f8f8f9"/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>made several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</w:t>
      </w:r>
      <w:r>
        <w:rPr>
          <w:shd w:val="clear" w:color="auto" w:fill="f8f8f9"/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 xml:space="preserve">regulations to control the spread of such diseases. </w:t>
      </w:r>
      <w:r>
        <w:rPr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>The Covid-19,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</w:t>
      </w:r>
      <w:r>
        <w:rPr>
          <w:shd w:val="clear" w:color="auto" w:fill="f8f8f9"/>
          <w:rFonts w:ascii="Times New Roman" w:hAnsi="Times New Roman" w:eastAsia="Times New Roman"/>
          <w:b w:val="0"/>
          <w:i w:val="0"/>
          <w:color w:val="000000"/>
          <w:sz w:val="18"/>
        </w:rPr>
        <w:t>on the other hand, does not have an effective way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to control its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spread due to its complicated transportation. </w:t>
      </w:r>
    </w:p>
    <w:p>
      <w:pPr>
        <w:autoSpaceDN w:val="0"/>
        <w:autoSpaceDE w:val="0"/>
        <w:widowControl/>
        <w:spacing w:line="206" w:lineRule="exact" w:before="21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3.2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Difficulties to Detect the Virus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One of the difficulties to control the spread of the Covid-19 is its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trick ability to infect others when the patients cannot completely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recognize it. The incubation period of the Covid-19 is usually one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to fourteen days, and sometimes three to seven days applying to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different people [22]. During the virus’s incubation period,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patients cannot feel any symptoms caused by the virus. Thus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doctors cannot find the patients as fast as possible to limit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spread of the virus. The incubation period of the virus is also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relatively long, causing the patients exponentially infecting people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surrounded by them when they go to work or join parties.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Asymptomatic infection may also become a source of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transmission of the virus, which means that some patients, due to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their special body traits, do not show obvious clinical symptoms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due to their weak immune system stress response or their own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physical characteristics, but they carry the virus and can infect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others and cause other people having the symptoms that they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don’t have [23]. Asymptomatic infection is not easy to find,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because they don’t show any traits that can warn them to do a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diagnosed test. The patients themselves do not know. Because of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this, it is difficult to control and isolate in time, causing large-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scale transmission, which also brings up the importance of social-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distancing, section prevention and control work [24]. Thus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government has to implement coronavirus testing for everybody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to diagnose those asymptomatic patients to erase the risks of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further transmission.  Also, some studies have suggested that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patients in the recovery period carry pathogens, but they have not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been widely confirmed and need further study. </w:t>
      </w:r>
    </w:p>
    <w:p>
      <w:pPr>
        <w:autoSpaceDN w:val="0"/>
        <w:autoSpaceDE w:val="0"/>
        <w:widowControl/>
        <w:spacing w:line="200" w:lineRule="exact" w:before="21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3.3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Transmission of the virus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Covid-19 entered the body through the ACE2 enzyme located on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lung. ACE2 is a new found Metalloproteinase maintaining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located on the alveoli cell, belonging to the I Transmembrane </w:t>
      </w:r>
    </w:p>
    <w:p>
      <w:pPr>
        <w:sectPr>
          <w:type w:val="continuous"/>
          <w:pgSz w:w="12240" w:h="15840"/>
          <w:pgMar w:top="528" w:right="968" w:bottom="260" w:left="1080" w:header="720" w:footer="720" w:gutter="0"/>
          <w:cols w:space="720" w:num="2" w:equalWidth="0">
            <w:col w:w="4908" w:space="0"/>
            <w:col w:w="5284" w:space="0"/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1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>220</w:t>
      </w:r>
    </w:p>
    <w:p>
      <w:pPr>
        <w:sectPr>
          <w:type w:val="nextColumn"/>
          <w:pgSz w:w="12240" w:h="15840"/>
          <w:pgMar w:top="528" w:right="968" w:bottom="260" w:left="1080" w:header="720" w:footer="720" w:gutter="0"/>
          <w:cols w:space="720" w:num="2" w:equalWidth="0">
            <w:col w:w="4908" w:space="0"/>
            <w:col w:w="5284" w:space="0"/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2240" w:h="15840"/>
          <w:pgMar w:top="528" w:right="970" w:bottom="262" w:left="1080" w:header="720" w:footer="720" w:gutter="0"/>
          <w:cols w:space="720" w:num="2" w:equalWidth="0">
            <w:col w:w="4908" w:space="0"/>
            <w:col w:w="5284" w:space="0"/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0" w:right="5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more susceptible and high-risk groups of infectious diseases.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majority of the population that are critically infected in this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pandemic usually have high ages such as sixty or older. The novel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coronavirus is susceptible to pneumonia in children and pregnant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women as well, since they also have relatively weak immunity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ability compared to a health adult [32]. </w:t>
      </w:r>
    </w:p>
    <w:p>
      <w:pPr>
        <w:autoSpaceDN w:val="0"/>
        <w:autoSpaceDE w:val="0"/>
        <w:widowControl/>
        <w:spacing w:line="206" w:lineRule="exact" w:before="21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Conclusion and Concern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World has already exposed three major pandemics involved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in coronavirus: the Sars-CoV in 2002, Mers-CoV in 2012 and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SARs-CoV-2 in 2020. Even though the new Coronavirus has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seventy five percent similarity with the SARs-CoV, the new virus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actually contains a lot of new traits that scientists still cannot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solve, like its epidemiological and etiology traits. Recently,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implementation of herd immunity became popular among some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countries. As a high school student, I am very disappointed with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idea of herd immunity following the old trend of social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Darwinism, the indifference of the government in the herds and I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hope people can find a way altogether solving the pandemic issue.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Scientists already experienced the previous two pandemics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accumulated a lot of relative information about the control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cure of the pandemic. Based on the successful clinical trial for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Sars-CoV diseases, scientists have already made significant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progress for developing treatments for the new coronavirus. As a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result, I hope that the research on the virus can effectively limit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outbreak of the pandemic and we can finally overcome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virus and embrace our success. </w:t>
      </w:r>
    </w:p>
    <w:p>
      <w:pPr>
        <w:autoSpaceDN w:val="0"/>
        <w:tabs>
          <w:tab w:pos="420" w:val="left"/>
        </w:tabs>
        <w:autoSpaceDE w:val="0"/>
        <w:widowControl/>
        <w:spacing w:line="184" w:lineRule="exact" w:before="23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[1]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Lai, C. C., Shih, T. P., Ko, W. C., Tang, H. J. &amp; Hsueh, P. R. </w:t>
      </w:r>
    </w:p>
    <w:p>
      <w:pPr>
        <w:autoSpaceDN w:val="0"/>
        <w:autoSpaceDE w:val="0"/>
        <w:widowControl/>
        <w:spacing w:line="206" w:lineRule="exact" w:before="34" w:after="0"/>
        <w:ind w:left="42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Severe acute respiratory syndrome coronavirus 2 (SARS-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CoV-2) and coronavirus disease-2019 (COVID-19): The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epidemic and the challenges.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Int J Antimicrob Agents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55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105924, doi:10.1016/j.ijantimicag.2020.105924 (2020). </w:t>
      </w:r>
    </w:p>
    <w:p>
      <w:pPr>
        <w:autoSpaceDN w:val="0"/>
        <w:autoSpaceDE w:val="0"/>
        <w:widowControl/>
        <w:spacing w:line="206" w:lineRule="exact" w:before="34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Ali, I. &amp; Alharbi, O. M. L. COVID-19: Disease,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[2]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management, treatment, and social impact.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Sci Total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Environ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728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138861, doi:10.1016/j.scitotenv.2020.138861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(2020). </w:t>
      </w:r>
    </w:p>
    <w:p>
      <w:pPr>
        <w:autoSpaceDN w:val="0"/>
        <w:tabs>
          <w:tab w:pos="420" w:val="left"/>
        </w:tabs>
        <w:autoSpaceDE w:val="0"/>
        <w:widowControl/>
        <w:spacing w:line="206" w:lineRule="exact" w:before="34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[3]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Shao, S.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Experiences and practices in the current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prevention and control of the novel coronavirus pneumonia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in China.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Disaster Med Public Health Prep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1-19,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doi:10.1017/dmp.2020.173 (2020). </w:t>
      </w:r>
    </w:p>
    <w:p>
      <w:pPr>
        <w:autoSpaceDN w:val="0"/>
        <w:tabs>
          <w:tab w:pos="420" w:val="left"/>
        </w:tabs>
        <w:autoSpaceDE w:val="0"/>
        <w:widowControl/>
        <w:spacing w:line="206" w:lineRule="exact" w:before="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[4]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Cheever, F. S., Daniels, J. B. &amp; et al. A murine virus (JHM)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causing disseminated encephalomyelitis with extensive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destruction of myelin.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J Exp Med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90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181-210,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doi:10.1084/jem.90.3.181 (1949). </w:t>
      </w:r>
    </w:p>
    <w:p>
      <w:pPr>
        <w:autoSpaceDN w:val="0"/>
        <w:tabs>
          <w:tab w:pos="420" w:val="left"/>
        </w:tabs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[5]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Bailey, O. T., Pappenheimer, A. M., Cheever, F. S. &amp;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Daniels, J. B. A Murine Virus (Jhm) Causing Disseminated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Encephalomyelitis with Extensive Destruction of Myelin : Ii. </w:t>
      </w:r>
    </w:p>
    <w:p>
      <w:pPr>
        <w:autoSpaceDN w:val="0"/>
        <w:autoSpaceDE w:val="0"/>
        <w:widowControl/>
        <w:spacing w:line="196" w:lineRule="exact" w:before="56" w:after="0"/>
        <w:ind w:left="42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Pathology.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J Exp Med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90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195-212,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doi:10.1084/jem.90.3.195 (1949). </w:t>
      </w:r>
    </w:p>
    <w:p>
      <w:pPr>
        <w:autoSpaceDN w:val="0"/>
        <w:tabs>
          <w:tab w:pos="420" w:val="left"/>
        </w:tabs>
        <w:autoSpaceDE w:val="0"/>
        <w:widowControl/>
        <w:spacing w:line="206" w:lineRule="exact" w:before="34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[6]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Hamre, D. &amp; Procknow, J. J. A new virus isolated from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human respiratory tract.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Proc Soc Exp Biol Med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121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, 190-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193, doi:10.3181/00379727-121-30734 (1966). </w:t>
      </w:r>
    </w:p>
    <w:p>
      <w:pPr>
        <w:autoSpaceDN w:val="0"/>
        <w:tabs>
          <w:tab w:pos="420" w:val="left"/>
        </w:tabs>
        <w:autoSpaceDE w:val="0"/>
        <w:widowControl/>
        <w:spacing w:line="206" w:lineRule="exact" w:before="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[7]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Goldstein, S. A. &amp; Weiss, S. R. Origins and pathogenesis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Middle East respiratory syndrome-associated coronavirus: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recent advances.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F1000Res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6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1628,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doi:10.12688/f1000research.11827.1 (2017). </w:t>
      </w:r>
    </w:p>
    <w:p>
      <w:pPr>
        <w:autoSpaceDN w:val="0"/>
        <w:tabs>
          <w:tab w:pos="420" w:val="left"/>
        </w:tabs>
        <w:autoSpaceDE w:val="0"/>
        <w:widowControl/>
        <w:spacing w:line="206" w:lineRule="exact" w:before="34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[8]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Jewell, N. P.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Non-parametric estimation of the case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fatality ratio with competing risks data: an application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Severe Acute Respiratory Syndrome (SARS).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Stat Med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26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1982-1998, doi:10.1002/sim.2691 (2007). </w:t>
      </w:r>
    </w:p>
    <w:p>
      <w:pPr>
        <w:sectPr>
          <w:type w:val="continuous"/>
          <w:pgSz w:w="12240" w:h="15840"/>
          <w:pgMar w:top="528" w:right="970" w:bottom="262" w:left="1080" w:header="720" w:footer="720" w:gutter="0"/>
          <w:cols w:space="720" w:num="2" w:equalWidth="0">
            <w:col w:w="4906" w:space="0"/>
            <w:col w:w="5284" w:space="0"/>
            <w:col w:w="4908" w:space="0"/>
            <w:col w:w="5284" w:space="0"/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1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>221</w:t>
      </w:r>
    </w:p>
    <w:p>
      <w:pPr>
        <w:sectPr>
          <w:type w:val="nextColumn"/>
          <w:pgSz w:w="12240" w:h="15840"/>
          <w:pgMar w:top="528" w:right="970" w:bottom="262" w:left="1080" w:header="720" w:footer="720" w:gutter="0"/>
          <w:cols w:space="720" w:num="2" w:equalWidth="0">
            <w:col w:w="4906" w:space="0"/>
            <w:col w:w="5284" w:space="0"/>
            <w:col w:w="4908" w:space="0"/>
            <w:col w:w="5284" w:space="0"/>
            <w:col w:w="4884" w:space="0"/>
            <w:col w:w="5261" w:space="0"/>
            <w:col w:w="10146" w:space="0"/>
            <w:col w:w="4892" w:space="0"/>
            <w:col w:w="5293" w:space="0"/>
            <w:col w:w="101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08" w:lineRule="exact" w:before="32" w:after="0"/>
        <w:ind w:left="420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2019 novel coronavirus pneumonia receiving combined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Chinese and Western medicine treatment.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Biosci Trends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14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64-68, doi:10.5582/bst.2020.01030 (2020). </w:t>
      </w:r>
    </w:p>
    <w:p>
      <w:pPr>
        <w:autoSpaceDN w:val="0"/>
        <w:autoSpaceDE w:val="0"/>
        <w:widowControl/>
        <w:spacing w:line="208" w:lineRule="exact" w:before="32" w:after="0"/>
        <w:ind w:left="420" w:right="4896" w:hanging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[26]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Zhang, T.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Clinical trials for the treatment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Coronavirus disease 2019 (COVID-19): A rapid response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urgent need.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Sci China Life Sci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63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774-776,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doi:10.1007/s11427-020-1660-2 (2020).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[27]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Asadi, S., Bouvier, N., Wexler, A. S. &amp; Ristenpart, W. D. </w:t>
      </w:r>
    </w:p>
    <w:p>
      <w:pPr>
        <w:autoSpaceDN w:val="0"/>
        <w:autoSpaceDE w:val="0"/>
        <w:widowControl/>
        <w:spacing w:line="206" w:lineRule="exact" w:before="34" w:after="0"/>
        <w:ind w:left="42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The coronavirus pandemic and aerosols: Does COVID-19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transmit via expiratory particles?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Aerosol Sci Technol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0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1-4,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doi:10.1080/02786826.2020.1749229 (2020). </w:t>
      </w:r>
    </w:p>
    <w:p>
      <w:pPr>
        <w:autoSpaceDN w:val="0"/>
        <w:autoSpaceDE w:val="0"/>
        <w:widowControl/>
        <w:spacing w:line="208" w:lineRule="exact" w:before="32" w:after="0"/>
        <w:ind w:left="42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28 Zhao, F.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The Time Sequences of Oral and Fecal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Viral Shedding of Coronavirus Disease 2019 (COVID-19)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Patients.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Gastroenterology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doi:10.1053/j.gastro.2020.05.035 (2020). </w:t>
      </w:r>
    </w:p>
    <w:p>
      <w:pPr>
        <w:autoSpaceDN w:val="0"/>
        <w:autoSpaceDE w:val="0"/>
        <w:widowControl/>
        <w:spacing w:line="208" w:lineRule="exact" w:before="32" w:after="0"/>
        <w:ind w:left="420" w:right="4896" w:hanging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[28]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Adhikari, S. P.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Epidemiology, causes, clinical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manifestation and diagnosis, prevention and control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coronavirus disease (COVID-19) during the early outbreak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period: a scoping review.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Infect Dis Poverty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9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29,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doi:10.1186/s40249-020-00646-x (2020). </w:t>
      </w:r>
    </w:p>
    <w:p>
      <w:pPr>
        <w:autoSpaceDN w:val="0"/>
        <w:autoSpaceDE w:val="0"/>
        <w:widowControl/>
        <w:spacing w:line="208" w:lineRule="exact" w:before="32" w:after="0"/>
        <w:ind w:left="420" w:right="5040" w:hanging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[29]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Karimi-Zarchi, M.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Vertical Transmission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Coronavirus Disease 19 (COVID-19) from Infected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Pregnant Mothers to Neonates: A Review.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Fetal Pediatr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Pathol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39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246-250, doi:10.1080/15513815.2020.1747120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(2020). </w:t>
      </w:r>
    </w:p>
    <w:p>
      <w:pPr>
        <w:autoSpaceDN w:val="0"/>
        <w:autoSpaceDE w:val="0"/>
        <w:widowControl/>
        <w:spacing w:line="208" w:lineRule="exact" w:before="32" w:after="0"/>
        <w:ind w:left="420" w:right="4752" w:hanging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[30]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Chen, N.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Epidemiological and clinical characteristics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of 99 cases of 2019 novel coronavirus pneumonia in Wuhan,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China: a descriptive study.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Lancet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395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507-513,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doi:10.1016/S0140-6736(20)30211-7 (2020). </w:t>
      </w:r>
    </w:p>
    <w:p>
      <w:pPr>
        <w:autoSpaceDN w:val="0"/>
        <w:autoSpaceDE w:val="0"/>
        <w:widowControl/>
        <w:spacing w:line="210" w:lineRule="exact" w:before="30" w:after="0"/>
        <w:ind w:left="420" w:right="5040" w:hanging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[31]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Zhou, M.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The proportion of patients with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thrombocytopenia in three human-susceptible coronavirus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infections: a systematic review and meta-analysis.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Br J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Haematol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189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438-441, doi:10.1111/bjh.16655 (2020). </w:t>
      </w:r>
    </w:p>
    <w:p>
      <w:pPr>
        <w:autoSpaceDN w:val="0"/>
        <w:autoSpaceDE w:val="0"/>
        <w:widowControl/>
        <w:spacing w:line="214" w:lineRule="exact" w:before="26" w:after="0"/>
        <w:ind w:left="420" w:right="4752" w:hanging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[32]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Liu, H.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 et al.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Why are pregnant women susceptible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COVID-19? An immunological viewpoint. </w:t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 xml:space="preserve">J Reprod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18"/>
        </w:rPr>
        <w:t>Immunol</w:t>
      </w: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139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103122, doi:10.1016/j.jri.2020.103122 (2020). </w:t>
      </w:r>
    </w:p>
    <w:p>
      <w:pPr>
        <w:autoSpaceDN w:val="0"/>
        <w:autoSpaceDE w:val="0"/>
        <w:widowControl/>
        <w:spacing w:line="210" w:lineRule="exact" w:before="6558" w:after="0"/>
        <w:ind w:left="0" w:right="4552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6"/>
        </w:rPr>
        <w:t>222</w:t>
      </w:r>
    </w:p>
    <w:sectPr w:rsidR="00FC693F" w:rsidRPr="0006063C" w:rsidSect="00034616">
      <w:pgSz w:w="12240" w:h="15840"/>
      <w:pgMar w:top="528" w:right="1440" w:bottom="262" w:left="1080" w:header="720" w:footer="720" w:gutter="0"/>
      <w:cols w:space="720" w:num="1" w:equalWidth="0">
        <w:col w:w="9720" w:space="0"/>
        <w:col w:w="4906" w:space="0"/>
        <w:col w:w="5284" w:space="0"/>
        <w:col w:w="4908" w:space="0"/>
        <w:col w:w="5284" w:space="0"/>
        <w:col w:w="4884" w:space="0"/>
        <w:col w:w="5261" w:space="0"/>
        <w:col w:w="10146" w:space="0"/>
        <w:col w:w="4892" w:space="0"/>
        <w:col w:w="5293" w:space="0"/>
        <w:col w:w="101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