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174" w:right="432" w:hanging="1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 xml:space="preserve">Analyzing the Direct and Transitive Impact of Vulnerabilities onto </w:t>
      </w: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Diferent Artifact Repositories</w:t>
      </w:r>
    </w:p>
    <w:p>
      <w:pPr>
        <w:autoSpaceDN w:val="0"/>
        <w:autoSpaceDE w:val="0"/>
        <w:widowControl/>
        <w:spacing w:line="278" w:lineRule="exact" w:before="218" w:after="0"/>
        <w:ind w:left="174" w:right="3312" w:hanging="4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JOHANNES DÃĲSING,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Technical University Dortmund, Germany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BEN HERMANN,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Technical University Dortmund, Germany</w:t>
      </w:r>
    </w:p>
    <w:p>
      <w:pPr>
        <w:autoSpaceDN w:val="0"/>
        <w:autoSpaceDE w:val="0"/>
        <w:widowControl/>
        <w:spacing w:line="220" w:lineRule="exact" w:before="130" w:after="0"/>
        <w:ind w:left="168" w:right="144" w:firstLine="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In modern-day software development, a vast amount of public software libraries enable the reuse of existing implementations </w:t>
      </w:r>
      <w:r>
        <w:rPr>
          <w:w w:val="98.725954691569"/>
          <w:rFonts w:ascii="LinLibertineT" w:hAnsi="LinLibertineT" w:eastAsia="LinLibertineT"/>
          <w:b w:val="0"/>
          <w:i w:val="0"/>
          <w:color w:val="000000"/>
          <w:sz w:val="18"/>
        </w:rPr>
        <w:t xml:space="preserve">for reoccurring tasks and common problems. While this practice does yield signiicant beneits in productivity, it also puts an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increasing amount of responsibility on library maintainers. If a security law is contained in a library release, it may directly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afect thousands of applications that are depending on it. Given the fact that libraries are often interconnected, meaning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they are depending on other libraries for certain sub-tasks, the impact of a single vulnerability may be large, and is hard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to quantify. Recent studies have shown that developers in fact struggle with upgrading vulnerable dependencies, despite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ever-increasing support by automated tools, which are often publicly available. With our work, we aim to improve on this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situation by providing an in-depth analysis on how developers handle vulnerability patches and dependency upgrades. In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order to do so, we contribute a miner for artifact dependency graphs supporting diferent programming platforms, which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annotates the graph with vulnerability information. We execute our application and generate a data set for the artifact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repositories Maven Central, NuGet.org, and the NPM Registry, with the resulting graph being stored in a Neo4j graph database.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Afterwards, we conduct an extensive analysis of our data, which is aimed at understanding the impact of vulnerabilities for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the three diferent repositories. Finally, we summarize the resulting risks and derive possible mitigation strategies for library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maintainers and software developers based on our indings. We found that NuGet.org, the smallest artifact repository in our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sample, is subject to fewer security concerns than Maven Central or the NPM Registry. However, for all repositories, we found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that vulnerabilities may inluence libraries via long transitive dependency chains and that a vulnerability in a single library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may afect thousands of other libraries transitively.</w:t>
      </w:r>
    </w:p>
    <w:p>
      <w:pPr>
        <w:autoSpaceDN w:val="0"/>
        <w:autoSpaceDE w:val="0"/>
        <w:widowControl/>
        <w:spacing w:line="208" w:lineRule="exact" w:before="1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CCS Concepts: 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Security and privacy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Vulnerability management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6" w:lineRule="exact" w:before="15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8"/>
        </w:rPr>
        <w:t>Additional Key Words and Phrases: Vulnerability, Impact Analysis, Repository Mining, Patch Detection</w:t>
      </w:r>
    </w:p>
    <w:p>
      <w:pPr>
        <w:autoSpaceDN w:val="0"/>
        <w:tabs>
          <w:tab w:pos="494" w:val="left"/>
        </w:tabs>
        <w:autoSpaceDE w:val="0"/>
        <w:widowControl/>
        <w:spacing w:line="226" w:lineRule="exact" w:before="29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4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Software reuse has proven to be an essential part of software development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 vast amount of public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repositories exist, where developers can choose open-source software libraries for a variety of diferent tasks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programming environments. Various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build systems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like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NPM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Nuget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or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Maven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conveniently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integrate the management of external components into development worklows, thus allowing developers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browse and add components by the click of a button.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a result of the continuous improvement in tooling support, the amount of open-source library code has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been shown to be more than 45% of the total project code for open-source Java projects, with only 10% of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projects not reusing code at all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]. Similarly, the 2021 Synposis Open Source Security Report inds that of 1,546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commercial codebases analyzed in 2020, 98% contained open-source library code, with the average application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being comprised of 75% open source [42].</w:t>
      </w:r>
    </w:p>
    <w:p>
      <w:pPr>
        <w:autoSpaceDN w:val="0"/>
        <w:autoSpaceDE w:val="0"/>
        <w:widowControl/>
        <w:spacing w:line="200" w:lineRule="exact" w:before="224" w:after="0"/>
        <w:ind w:left="144" w:right="144" w:firstLine="0"/>
        <w:jc w:val="center"/>
      </w:pP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Johannes DÃĳsing,</w:t>
          </w:r>
        </w:hyperlink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Technical University Dortmund, Otto-Hahn-StraÃğe 14, Dortmund, Germany, johannes.duesing@tu-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dortmund.de;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10" w:history="1">
          <w:r>
            <w:rPr>
              <w:rStyle w:val="Hyperlink"/>
            </w:rPr>
            <w:t xml:space="preserve"> Ben Hermann,</w:t>
          </w:r>
        </w:hyperlink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Technical University Dortmund, Otto-Hahn-StraÃğe 14, Dortmund, Germany, ben.hermann@cs.tu-dortmund.de.</w:t>
      </w:r>
    </w:p>
    <w:p>
      <w:pPr>
        <w:autoSpaceDN w:val="0"/>
        <w:autoSpaceDE w:val="0"/>
        <w:widowControl/>
        <w:spacing w:line="200" w:lineRule="exact" w:before="24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Permission to make digital or hard copies of part or all of this work for personal or classroom use is granted without fee provided that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copies are not made or distributed for proit or commercial advantage and that copies bear this notice and the full citation on the irst page.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Copyrights for third-party components of this work must be honored. For all other uses, contact the owner/author(s).</w:t>
      </w:r>
    </w:p>
    <w:p>
      <w:pPr>
        <w:autoSpaceDN w:val="0"/>
        <w:autoSpaceDE w:val="0"/>
        <w:widowControl/>
        <w:spacing w:line="166" w:lineRule="exact" w:before="52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Copyright held by the owner/author(s).</w:t>
      </w:r>
    </w:p>
    <w:p>
      <w:pPr>
        <w:autoSpaceDN w:val="0"/>
        <w:autoSpaceDE w:val="0"/>
        <w:widowControl/>
        <w:spacing w:line="198" w:lineRule="exact" w:before="2" w:after="0"/>
        <w:ind w:left="174" w:right="7056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2576-5337/2022/1-ART1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https://doi.org/10.1145/3472811</w:t>
          </w:r>
        </w:hyperlink>
      </w:r>
    </w:p>
    <w:p>
      <w:pPr>
        <w:autoSpaceDN w:val="0"/>
        <w:autoSpaceDE w:val="0"/>
        <w:widowControl/>
        <w:spacing w:line="166" w:lineRule="exact" w:before="3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has been established by W.C. Lim and others, that software reuse has several positive efects on a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product and its development process, including increased productivity and shorter time-to-market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May 2021, almost 7 million artifacts are available on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Maven Central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which is only one of many repositories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open-source Java libraries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 similar trend in the availability of reusable software artifacts can be observed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other repositories as well, with examples like the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NPM Registry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NuGet.org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hosting over 16 million artifacts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combined (cf. Section 4.3).</w:t>
      </w:r>
    </w:p>
    <w:p>
      <w:pPr>
        <w:autoSpaceDN w:val="0"/>
        <w:autoSpaceDE w:val="0"/>
        <w:widowControl/>
        <w:spacing w:line="240" w:lineRule="exact" w:before="0" w:after="0"/>
        <w:ind w:left="168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using external open-source libraries from repositories like NuGet.org also introduces some distinct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disadvantages. Most prominently, those libraries impose a new level of complexity on a project. Many of them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have dependencies to other libraries of the same repository, thus creating a potentially large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dependency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(often 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dependency tree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 containing both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direct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transitive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dependencies of a project. Decan 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al. have shown in 2019 that these graphs can exhibit depths larger than six, with roughly 25% of all artifacts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having a dependency graph of depth at least three. The authors also observe that the ratio of transitive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direct dependencies roughly equals 15 for both the NPM Registry and NuGet.org [11]. Overseeing the diferent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responsibilities, release dates and available versions of all libraries in that graph is a complex task that is likely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 additional overhead to the development process [32].</w:t>
      </w:r>
    </w:p>
    <w:p>
      <w:pPr>
        <w:autoSpaceDN w:val="0"/>
        <w:autoSpaceDE w:val="0"/>
        <w:widowControl/>
        <w:spacing w:line="238" w:lineRule="exact" w:before="2" w:after="0"/>
        <w:ind w:left="16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fact becomes especially relevant when considering vulnerabilities in software libraries. A single vulnera-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bility in a certain library may break the security of all libraries and projects using it, be it directly or transitively.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While vulnerabilities</w:t>
      </w:r>
      <w:r>
        <w:rPr>
          <w:w w:val="98.9763069152832"/>
          <w:rFonts w:ascii="LinLibertineTI" w:hAnsi="LinLibertineTI" w:eastAsia="LinLibertineTI"/>
          <w:b w:val="0"/>
          <w:i w:val="0"/>
          <w:color w:val="000000"/>
          <w:sz w:val="20"/>
        </w:rPr>
        <w:t xml:space="preserve"> being present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in a dependency does not necessarily mean vulnerable code is being used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Lawrence and Frohof have shown that in Java vulnerabilities may be exploited simply because the corresponding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code is on the classpath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]. By May 2021, one single release of a popular library like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jackson-databind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is directly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used by more than 18,000 other libraries on Maven Central alone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which underlines the impact a single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vulnerability may have onto the whole repository.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order to minimize the risk of developers not knowing about vulnerabilities in their library dependencies,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those vulnerabilities are often disclosed using the CVE standard. The list of all known CVE vulnerabilities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publicly available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frequently updated. The list has been started in 1999 and has, as of May 2021, more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than 153,000 entries, averaging at more than 19 vulnerabilities per day. While those entries are not solely related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software libraries, but also applications, these numbers still indicate that ixing vulnerabilities in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libraries is not a rare case, but something that must be anticipated during the development process.</w:t>
      </w:r>
    </w:p>
    <w:p>
      <w:pPr>
        <w:autoSpaceDN w:val="0"/>
        <w:autoSpaceDE w:val="0"/>
        <w:widowControl/>
        <w:spacing w:line="208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general, the process of safely dealing with a newly published vulnerability is threefold: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106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maintainers of the afected library publish a new version that does not contain the vulnerability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anymore. We call this new version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patch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the vulnerability.</w:t>
      </w:r>
    </w:p>
    <w:p>
      <w:pPr>
        <w:autoSpaceDN w:val="0"/>
        <w:autoSpaceDE w:val="0"/>
        <w:widowControl/>
        <w:spacing w:line="240" w:lineRule="exact" w:before="0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The maintainers of all libraries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directly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using the afected library need to publish new versions that upgrade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their dependencies to use the patch instead of the vulnerable version of the library. This process needs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 iterated recursively to account for transitive dependencies.</w:t>
      </w:r>
    </w:p>
    <w:p>
      <w:pPr>
        <w:autoSpaceDN w:val="0"/>
        <w:tabs>
          <w:tab w:pos="656" w:val="left"/>
        </w:tabs>
        <w:autoSpaceDE w:val="0"/>
        <w:widowControl/>
        <w:spacing w:line="238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Similar to library maintainers, project developers need to upgrade their dependencies for any of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(transitively) afected libraries to not use vulnerable versions anymore.</w:t>
      </w:r>
    </w:p>
    <w:p>
      <w:pPr>
        <w:autoSpaceDN w:val="0"/>
        <w:autoSpaceDE w:val="0"/>
        <w:widowControl/>
        <w:spacing w:line="240" w:lineRule="exact" w:before="104" w:after="0"/>
        <w:ind w:left="166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in theory, this process is adequate to deal with the problem at hand, in reality, there are several issues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negatively inluence its applicability. Most importantly, it requires the developers of all libraries to be actively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maintaining their code. Moreover, they have to constantly monitor all published vulnerabilities and patches,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correlate that data with the dependency graph of their library. While loating version references (i.e. dependencies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a range of valid version numbers) may in some cases enable maintainers to automatically beneit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vulnerability patches, they still need to verify that the vulnerability does not apply anymore.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As the act of monitoring vulnerability publications for every artifact of a dependency graph is both cumbersome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repetitive, to this day several tools have been developed in an efort to automate this task. A prominent example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Snyk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which can be added to software repositories as a CI check that informs developers of vulnerabilities in</w:t>
      </w:r>
    </w:p>
    <w:p>
      <w:pPr>
        <w:autoSpaceDN w:val="0"/>
        <w:autoSpaceDE w:val="0"/>
        <w:widowControl/>
        <w:spacing w:line="166" w:lineRule="exact" w:before="33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2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1:3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project’s dependencies, as well as their severity and possible patches. Going one step further,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Dependabot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automatically upgrades vulnerable dependencies and creates a corresponding pull request.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Despite the availability of tools like Snyk and Dependabot addressing the problem of vulnerable dependencies,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2017 study performed by Kula et al. found that 69% of developers claim to be unaware of being afected.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result, more than 81% of the systems they analyzed contained vulnerable dependencies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addition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that, some library maintainers may never release a patched version, as they decided to stop maintaining their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library. This information is not easy to obtain, as there is no standard way of publishing it. Pashchenko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argue that such</w:t>
      </w:r>
      <w:r>
        <w:rPr>
          <w:w w:val="98.72529029846191"/>
          <w:rFonts w:ascii="LinLibertineTI" w:hAnsi="LinLibertineTI" w:eastAsia="LinLibertineTI"/>
          <w:b w:val="0"/>
          <w:i w:val="0"/>
          <w:color w:val="000000"/>
          <w:sz w:val="20"/>
        </w:rPr>
        <w:t xml:space="preserve"> halted dependencies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may be identiied by using a heuristic based on the average interval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diferent releases.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their study, Kula et al. conclude that one reason for this is the developer’s perception of security patches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dependency upgrades as added responsibility yielding little to no beneits for the user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While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act of upgrading a dependency does not consume much time, it requires careful consideration to account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compatibility, performance, and security. Therefore, a good understanding of the respective repository and its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patching behavior is key to making informed decisions for dependency upgrades, thus ultimately improving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application security.</w:t>
      </w:r>
    </w:p>
    <w:p>
      <w:pPr>
        <w:autoSpaceDN w:val="0"/>
        <w:autoSpaceDE w:val="0"/>
        <w:widowControl/>
        <w:spacing w:line="240" w:lineRule="exact" w:before="0" w:after="0"/>
        <w:ind w:left="174" w:right="14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the question of how and when developers release patches and upgrade dependencies in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artifact repositories has yet to be answered. This is due to a lack of empirical data on the subject, especially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regarding the diferences between repositories. To this day, there is no vulnerability-enriched dependency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available for any of the major artifact repositories, although that data is freely accessible online. As a result, no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formal analysis has yet been conducted on patching behavior in the presence of multi-level dependency graphs.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main goal of our work is to provide detailed insights into the problem of vulnerable software artifacts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their dependencies by conducting an in-depth analysis that investigates the patching behavior across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repositories. Based on that, we derive development strategies that increase application security. In summary,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contribute:</w:t>
      </w:r>
    </w:p>
    <w:p>
      <w:pPr>
        <w:autoSpaceDN w:val="0"/>
        <w:autoSpaceDE w:val="0"/>
        <w:widowControl/>
        <w:spacing w:line="238" w:lineRule="exact" w:before="66" w:after="0"/>
        <w:ind w:left="662" w:right="174" w:hanging="29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(1)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 distributed application for mining the dependency graphs of diferent software repositories and annotating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 with vulnerability information. Our implementation is presented in Section 4 and published on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Zenodo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[12].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(2)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 analysis on the patching behavior of library developers in NuGet.org, the NPM Registry, and Maven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Central. We highlight our analysis design, methodology, and results in Section 5.</w:t>
      </w:r>
    </w:p>
    <w:p>
      <w:pPr>
        <w:autoSpaceDN w:val="0"/>
        <w:tabs>
          <w:tab w:pos="662" w:val="left"/>
        </w:tabs>
        <w:autoSpaceDE w:val="0"/>
        <w:widowControl/>
        <w:spacing w:line="240" w:lineRule="exact" w:before="0" w:after="0"/>
        <w:ind w:left="37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(3)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 set of resulting threats to application security and possible mitigation strategies, which are discussed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Section 6.</w:t>
      </w:r>
    </w:p>
    <w:p>
      <w:pPr>
        <w:autoSpaceDN w:val="0"/>
        <w:tabs>
          <w:tab w:pos="494" w:val="left"/>
        </w:tabs>
        <w:autoSpaceDE w:val="0"/>
        <w:widowControl/>
        <w:spacing w:line="226" w:lineRule="exact" w:before="23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BACKGROUND</w:t>
      </w:r>
    </w:p>
    <w:p>
      <w:pPr>
        <w:autoSpaceDN w:val="0"/>
        <w:autoSpaceDE w:val="0"/>
        <w:widowControl/>
        <w:spacing w:line="240" w:lineRule="exact" w:before="54" w:after="0"/>
        <w:ind w:left="16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Build Systems like Maven or NPM resolve dependency speciications in so-called software artifact repositories.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Popular examples for such repositories are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Maven Central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almost 7 million artifacts by May 2021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NPM Registry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(around 13.5 million artifacts, cf. Figure 4) and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NuGet.org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around 2.8 million artifacts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These repositories generally expose a web-based interface granting full read-access to any client that wants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consume the contained artifacts. For Maven Central this interface is ile-based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while for other examples like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NuGet.org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NPM Registry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 is a JSON-based artifact index.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When developers reference an artifact in their project, that artifact may itself be depending on other artifacts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same repository, thus introducing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transitive dependencies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the project. Consequently, each project has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dedicated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dependency graph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which may span multiple levels and is resolved by the build system. Developers do not</w:t>
      </w:r>
    </w:p>
    <w:p>
      <w:pPr>
        <w:autoSpaceDN w:val="0"/>
        <w:autoSpaceDE w:val="0"/>
        <w:widowControl/>
        <w:spacing w:line="198" w:lineRule="exact" w:before="234" w:after="0"/>
        <w:ind w:left="174" w:right="6624" w:hanging="2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repo1.maven.org/maven2 </w:t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api.nuget.org/v3/catalog0/index.json </w:t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skimdb.npmjs.com/registry/_all_docs</w:t>
      </w:r>
    </w:p>
    <w:p>
      <w:pPr>
        <w:autoSpaceDN w:val="0"/>
        <w:autoSpaceDE w:val="0"/>
        <w:widowControl/>
        <w:spacing w:line="166" w:lineRule="exact" w:before="3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06" w:lineRule="exact" w:before="28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necessarily know about the transitive dependencies in their project, as they are typically resolved transparently.</w:t>
      </w:r>
    </w:p>
    <w:p>
      <w:pPr>
        <w:autoSpaceDN w:val="0"/>
        <w:autoSpaceDE w:val="0"/>
        <w:widowControl/>
        <w:spacing w:line="236" w:lineRule="exact" w:before="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However, commands like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mvn dependency:tree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may be used to explicitly list the full dependency graph.</w:t>
      </w:r>
    </w:p>
    <w:p>
      <w:pPr>
        <w:autoSpaceDN w:val="0"/>
        <w:autoSpaceDE w:val="0"/>
        <w:widowControl/>
        <w:spacing w:line="238" w:lineRule="exact" w:before="2" w:after="0"/>
        <w:ind w:left="168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 are two ways of referencing software artifacts in build systems for the context of this work. The irst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one, which is used predominantly by Maven, is to specify the unique library identiier and the version number of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the target artifact. We call this a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 xml:space="preserve"> ixed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artifact reference, as it references exactly one target artifact. While Maven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also supports the use of version ranges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we ind that these are rarely used in any of the artifacts online.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other hand,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loating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artifact references, which are used in NPM and NuGet, consist of the unique library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identiier and a range of valid version numbers. For this type of reference, the build system selects one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valid target artifacts, which usually is the most recent release of the respective library.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 in software artifacts can be discovered both unintentionally, e.g. by developers using the artifact,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intentionally, e.g. by users reviewing the source code of an artifact. Frei et al. illustrate the diferent options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discoverer has upon inding a vulnerability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These include selling it on the black or white market, creating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exploit or a patch, or disclosing it to the public. For the context of this work, the last option is of special interest.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Launched by the MITRE Corporation in 1999, the CVE list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an online database of such publicly disclosed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vulnerabilities, and has since emerged as a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 facto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standard for identifying and referencing vulnerabilities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For each vulnerability, it holds a unique identiier, a description, and a public reference. The NVD was created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2005 and builds upon the CVE list by providing additional information on ixes, severity, and impact of each CVE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entry [8].</w:t>
      </w:r>
    </w:p>
    <w:p>
      <w:pPr>
        <w:autoSpaceDN w:val="0"/>
        <w:autoSpaceDE w:val="0"/>
        <w:widowControl/>
        <w:spacing w:line="240" w:lineRule="exact" w:before="0" w:after="0"/>
        <w:ind w:left="168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Several tools incorporate those data sources in order to inform developers about vulnerabilities. Prominent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examples include the Maven plugin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Dependency-Check Maven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Dependabot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The services provided by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Snyk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rely on a proprietary vulnerability database, which incorporates not only vulnerabilities published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NVD but also indings from academic collaborations and proprietary research, as well as vulnerabilities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reported by the community. According to Snyk, each inding is manually tested for accuracy and enriched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additional metadata, including an explicit link to the set of afected software artifacts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Furthermore,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 not imported from public sources like the NVD, Snyk distinguishes the date of disclosure and date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publication. Upon disclosure, Snyk assess the severity and risks of vulnerabilities and, following an explicit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Disclosure Policy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contacts the maintainers of the afected modules. After that, Snyk cooperates with the module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maintainers and publishes the vulnerability information following a public disclosure timeline. Finally, as Snyk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oicially registered as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CVE Central Naming Authority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it assigns a CVE identiier for the vulnerability [23].</w:t>
      </w:r>
    </w:p>
    <w:p>
      <w:pPr>
        <w:autoSpaceDN w:val="0"/>
        <w:tabs>
          <w:tab w:pos="494" w:val="left"/>
        </w:tabs>
        <w:autoSpaceDE w:val="0"/>
        <w:widowControl/>
        <w:spacing w:line="224" w:lineRule="exact" w:before="28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APPROACH</w:t>
      </w:r>
    </w:p>
    <w:p>
      <w:pPr>
        <w:autoSpaceDN w:val="0"/>
        <w:autoSpaceDE w:val="0"/>
        <w:widowControl/>
        <w:spacing w:line="238" w:lineRule="exact" w:before="58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Our approach incorporates three diferent phases. First, we aggregate data on software artifact dependencies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diferent repositories and annotate vulnerability information. We then deine research questions and answer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them using the data produced in the previous phase. With our research questions, we investigate how and when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library maintainers upgrade a directly or transitively vulnerable release, and how many artifacts are afected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vulnerabilities in the irst place. Finally, we discuss the results, identify potential security threats and derive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mitigation strategies.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data aggregation, we design and implement a distributed application 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Miner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This application builds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the artifact dependency graph for diferent repositories, which is done by querying the respective web interfaces.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a second step, the Miner utilizes a customized dump of the Snyk database to annotate the dependency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vulnerability information. The graph is then stored in a database for further processing. We present the</w:t>
      </w:r>
    </w:p>
    <w:p>
      <w:pPr>
        <w:autoSpaceDN w:val="0"/>
        <w:autoSpaceDE w:val="0"/>
        <w:widowControl/>
        <w:spacing w:line="198" w:lineRule="exact" w:before="472" w:after="0"/>
        <w:ind w:left="174" w:right="1440" w:hanging="2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maven.apache.org/plugins/maven-dependency-plugin/examples/resolving-conlicts-using-the-dependency-tree.html </w:t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dependabot.com/ </w:t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snyk.io</w:t>
      </w:r>
    </w:p>
    <w:p>
      <w:pPr>
        <w:autoSpaceDN w:val="0"/>
        <w:autoSpaceDE w:val="0"/>
        <w:widowControl/>
        <w:spacing w:line="166" w:lineRule="exact" w:before="346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1:5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design of our Miner in Section 4.1, highlight implementation details in Section 4.2, and present insights into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resulting data set in Section 4.3.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the second phase, we conduct our analysis, which is guided by four diferent research questions. We present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those questions and deine their scope in Section 5.1. In order to answer those questions, we implement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analysis applications that extract metrics from the annotated dependency graph, and also implement tools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manual data exploration. We provide the results for each analysis in Section 5.3, which includes diagrams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plots of the previously generated metrics, as well as the outcomes of our manual analyses.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Finally, we discuss the results of our analysis in Section 6. We systematically derive potential threats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application security from our indings and analyze which repositories are afected by them. We then propose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possible mitigation strategies for those threats, which are meant to help software developers improve the security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their development process.</w:t>
      </w:r>
    </w:p>
    <w:p>
      <w:pPr>
        <w:autoSpaceDN w:val="0"/>
        <w:tabs>
          <w:tab w:pos="494" w:val="left"/>
        </w:tabs>
        <w:autoSpaceDE w:val="0"/>
        <w:widowControl/>
        <w:spacing w:line="226" w:lineRule="exact" w:before="31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DATA AGGREGATION</w:t>
      </w:r>
    </w:p>
    <w:p>
      <w:pPr>
        <w:autoSpaceDN w:val="0"/>
        <w:autoSpaceDE w:val="0"/>
        <w:widowControl/>
        <w:spacing w:line="240" w:lineRule="exact" w:before="54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order to aggregate the data set that we perform our analysis on, we developed a distributed application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called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 xml:space="preserve"> Miner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. It extracts the artifact dependency graph from diferent repositories, annotates it with vulnerability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information and stores it in a persistent fashion for further processing. In this chapter, we present the design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implementation of said application.</w:t>
      </w:r>
    </w:p>
    <w:p>
      <w:pPr>
        <w:autoSpaceDN w:val="0"/>
        <w:tabs>
          <w:tab w:pos="644" w:val="left"/>
        </w:tabs>
        <w:autoSpaceDE w:val="0"/>
        <w:widowControl/>
        <w:spacing w:line="226" w:lineRule="exact" w:before="31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Design</w:t>
      </w:r>
    </w:p>
    <w:p>
      <w:pPr>
        <w:autoSpaceDN w:val="0"/>
        <w:autoSpaceDE w:val="0"/>
        <w:widowControl/>
        <w:spacing w:line="240" w:lineRule="exact" w:before="54" w:after="0"/>
        <w:ind w:left="174" w:right="144" w:firstLine="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present the core design decision upon which we based application development. We aimed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include all relevant properties that might increase analysis expressiveness in the inal data model.</w:t>
      </w:r>
    </w:p>
    <w:p>
      <w:pPr>
        <w:autoSpaceDN w:val="0"/>
        <w:autoSpaceDE w:val="0"/>
        <w:widowControl/>
        <w:spacing w:line="238" w:lineRule="exact" w:before="222" w:after="0"/>
        <w:ind w:left="166" w:right="170" w:firstLine="0"/>
        <w:jc w:val="both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Selecting Repositories.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While we designed our application with extensibility in mind, we selected an initial set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artifact repositories in order to identify a superset of relevant artifact properties. We decided to include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repositories for three programming platforms: the JVM, .NET, and JavaScript. To ensure the relevance of our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work, we consider only the most popular repository for each platform, yielding</w:t>
      </w:r>
      <w:r>
        <w:rPr>
          <w:w w:val="98.9763069152832"/>
          <w:rFonts w:ascii="LinLibertineTI" w:hAnsi="LinLibertineTI" w:eastAsia="LinLibertineTI"/>
          <w:b w:val="0"/>
          <w:i w:val="0"/>
          <w:color w:val="000000"/>
          <w:sz w:val="20"/>
        </w:rPr>
        <w:t xml:space="preserve"> Maven Central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(JVM),</w:t>
      </w:r>
      <w:r>
        <w:rPr>
          <w:w w:val="98.9763069152832"/>
          <w:rFonts w:ascii="LinLibertineTI" w:hAnsi="LinLibertineTI" w:eastAsia="LinLibertineTI"/>
          <w:b w:val="0"/>
          <w:i w:val="0"/>
          <w:color w:val="000000"/>
          <w:sz w:val="20"/>
        </w:rPr>
        <w:t xml:space="preserve"> NuGet.org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(.NET) and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NPM Registry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(JavaScript).</w:t>
      </w:r>
    </w:p>
    <w:p>
      <w:pPr>
        <w:autoSpaceDN w:val="0"/>
        <w:autoSpaceDE w:val="0"/>
        <w:widowControl/>
        <w:spacing w:line="238" w:lineRule="exact" w:before="220" w:after="0"/>
        <w:ind w:left="174" w:right="144" w:firstLine="0"/>
        <w:jc w:val="left"/>
      </w:pPr>
      <w:r>
        <w:rPr>
          <w:w w:val="98.9763069152832"/>
          <w:rFonts w:ascii="LinBiolinumTI" w:hAnsi="LinBiolinumTI" w:eastAsia="LinBiolinumTI"/>
          <w:b w:val="0"/>
          <w:i w:val="0"/>
          <w:color w:val="000000"/>
          <w:sz w:val="20"/>
        </w:rPr>
        <w:t>Defining a Suitable Data Model.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The creation of a suitable data model for the resulting data set involves deining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properties for artifacts, vulnerabilities, and the relation of those two entities.</w:t>
      </w:r>
    </w:p>
    <w:p>
      <w:pPr>
        <w:autoSpaceDN w:val="0"/>
        <w:autoSpaceDE w:val="0"/>
        <w:widowControl/>
        <w:spacing w:line="208" w:lineRule="exact" w:before="30" w:after="0"/>
        <w:ind w:left="374" w:right="0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We deine our data model for software artifacts by inspecting the data provided by the three selected repositories.</w:t>
      </w:r>
    </w:p>
    <w:p>
      <w:pPr>
        <w:autoSpaceDN w:val="0"/>
        <w:autoSpaceDE w:val="0"/>
        <w:widowControl/>
        <w:spacing w:line="208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on that, we identify common properties and evaluate their usefulness in the context of our work.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named diferently, all three repositories incorporate the concept of a unique library identiier, which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always accompanied by a corresponding version number. In Maven Central, the library identiier is composed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two attributes called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groupId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artifactId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for NuGet.org and the NPM Registry it is a simple attribute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called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id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name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respectively. The concatenation of library identiier and version number yields a unique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artifact identiier. Also, all three repositories expose the publication date of an artifact.</w:t>
      </w:r>
    </w:p>
    <w:p>
      <w:pPr>
        <w:autoSpaceDN w:val="0"/>
        <w:autoSpaceDE w:val="0"/>
        <w:widowControl/>
        <w:spacing w:line="240" w:lineRule="exact" w:before="0" w:after="0"/>
        <w:ind w:left="164" w:right="144" w:firstLine="2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Naturally, a dependency graph cannot be constructed without information about an artifact’s dependencies.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represent each dependency as a tuple, containing both a library identiier and a domain-speciic expression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encoding a range of valid version numbers. As a result, the NPM dependency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"lodash":"^4.17.4"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references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artifacts of library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lodash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a version number greater than or equal to 4.17.4 up until the next major version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5.0.0, excluding. For our data model, we introduce an entity that holds three properties: the target’s repository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name and library identiier, as well as a repository-speciic version range speciier. For the sake of traceability,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keep the original deinition of the range speciier in our datamodel, and only normalize the data when resolving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references in a later stage (cf. Section 4.2).</w:t>
      </w:r>
    </w:p>
    <w:p>
      <w:pPr>
        <w:autoSpaceDN w:val="0"/>
        <w:autoSpaceDE w:val="0"/>
        <w:widowControl/>
        <w:spacing w:line="166" w:lineRule="exact" w:before="35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tabs>
          <w:tab w:pos="374" w:val="left"/>
        </w:tabs>
        <w:autoSpaceDE w:val="0"/>
        <w:widowControl/>
        <w:spacing w:line="240" w:lineRule="exact" w:before="246" w:after="0"/>
        <w:ind w:left="174" w:right="144" w:firstLine="0"/>
        <w:jc w:val="left"/>
      </w:pP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So in summary, the set of properties for software artifacts in our data model contains a unique library identiier,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version number, the release date, and a list of artifact dependencies.</w:t>
      </w:r>
    </w:p>
    <w:p>
      <w:pPr>
        <w:autoSpaceDN w:val="0"/>
        <w:autoSpaceDE w:val="0"/>
        <w:widowControl/>
        <w:spacing w:line="238" w:lineRule="exact" w:before="2" w:after="526"/>
        <w:ind w:left="166" w:right="144" w:firstLine="208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Our source of information on software vulnerabilities is a customized data dump of the</w:t>
      </w:r>
      <w:r>
        <w:rPr>
          <w:w w:val="98.87598037719727"/>
          <w:rFonts w:ascii="LinLibertineTI" w:hAnsi="LinLibertineTI" w:eastAsia="LinLibertineTI"/>
          <w:b w:val="0"/>
          <w:i w:val="0"/>
          <w:color w:val="000000"/>
          <w:sz w:val="20"/>
        </w:rPr>
        <w:t xml:space="preserve"> Snyk Vulnerability DB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which was provided to us by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 xml:space="preserve"> Snyk Ltd.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in an efort to support our research, and is up-to-date as of 16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th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July 2020.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this data source, we deine our data model for vulnerabilities, which includes the vulnerability’s internal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Snyk identiier, its severity (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>Critical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High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Medium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or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Low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 and a reference to an associated CVE identiier, if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available. Furthermore, we incorporate the date of disclosure and date of publication. Lastly, vulnerabilities must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linked to the software artifacts that they afect. In Snyk, this is done by providing a unique library identiier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and domain-speciic version range speciier, for which they use a syntax that is diferent in all three repositories.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 to artifact dependencies, we keep the domain-speciic range speciier in our data model, and normalize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data when it is processed.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20.0" w:type="dxa"/>
      </w:tblPr>
      <w:tblGrid>
        <w:gridCol w:w="4680"/>
        <w:gridCol w:w="4680"/>
      </w:tblGrid>
      <w:tr>
        <w:trPr>
          <w:trHeight w:hRule="exact" w:val="260"/>
        </w:trPr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0" w:after="0"/>
              <w:ind w:left="0" w:right="140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is patched by &gt; 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0" w:after="0"/>
              <w:ind w:left="0" w:right="44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next release &gt;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4.00000000000006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300"/>
        </w:trPr>
        <w:tc>
          <w:tcPr>
            <w:tcW w:type="dxa" w:w="902"/>
            <w:vMerge w:val="restart"/>
            <w:tcBorders>
              <w:end w:sz="4.009999752044678" w:val="single" w:color="#000000"/>
              <w:bottom w:sz="8.0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88"/>
            <w:tcBorders>
              <w:start w:sz="4.009999752044678" w:val="single" w:color="#000000"/>
              <w:top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18"/>
            <w:tcBorders>
              <w:top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02"/>
            <w:tcBorders>
              <w:top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88"/>
            <w:tcBorders>
              <w:top w:sz="4.009999752044678" w:val="single" w:color="#000000"/>
              <w:bottom w:sz="4.0099997520446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2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referenc</w:t>
            </w:r>
          </w:p>
        </w:tc>
        <w:tc>
          <w:tcPr>
            <w:tcW w:type="dxa" w:w="816"/>
            <w:tcBorders>
              <w:top w:sz="4.009999752044678" w:val="single" w:color="#000000"/>
              <w:bottom w:sz="4.0099997520446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2" w:after="0"/>
              <w:ind w:left="2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es &gt; </w:t>
            </w:r>
          </w:p>
        </w:tc>
        <w:tc>
          <w:tcPr>
            <w:tcW w:type="dxa" w:w="502"/>
            <w:tcBorders>
              <w:top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top w:sz="4.009999752044678" w:val="single" w:color="#000000"/>
              <w:end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02"/>
            <w:gridSpan w:val="2"/>
            <w:vMerge w:val="restart"/>
            <w:tcBorders>
              <w:start w:sz="4.009999752044678" w:val="single" w:color="#000000"/>
              <w:end w:sz="4.009999752044678" w:val="single" w:color="#000000"/>
              <w:bottom w:sz="8.0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8" w:after="0"/>
              <w:ind w:left="3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0..m</w:t>
            </w:r>
          </w:p>
        </w:tc>
        <w:tc>
          <w:tcPr>
            <w:tcW w:type="dxa" w:w="1202"/>
            <w:vMerge w:val="restart"/>
            <w:tcBorders>
              <w:start w:sz="4.009999752044678" w:val="single" w:color="#000000"/>
              <w:top w:sz="4.009999752044678" w:val="single" w:color="#000000"/>
              <w:end w:sz="4.009999752044678" w:val="single" w:color="#000000"/>
              <w:bottom w:sz="8.0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2" w:after="0"/>
              <w:ind w:left="2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0..1</w:t>
            </w:r>
          </w:p>
        </w:tc>
        <w:tc>
          <w:tcPr>
            <w:tcW w:type="dxa" w:w="286"/>
            <w:vMerge w:val="restart"/>
            <w:tcBorders>
              <w:start w:sz="4.009999752044678" w:val="single" w:color="#000000"/>
              <w:bottom w:sz="8.0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0..1</w:t>
            </w:r>
          </w:p>
        </w:tc>
      </w:tr>
      <w:tr>
        <w:trPr>
          <w:trHeight w:hRule="exact" w:val="202"/>
        </w:trPr>
        <w:tc>
          <w:tcPr>
            <w:tcW w:type="dxa" w:w="780"/>
            <w:vMerge/>
            <w:tcBorders>
              <w:end w:sz="4.009999752044678" w:val="single" w:color="#000000"/>
              <w:bottom w:sz="8.019999504089355" w:val="single" w:color="#000000"/>
            </w:tcBorders>
          </w:tcPr>
          <w:p/>
        </w:tc>
        <w:tc>
          <w:tcPr>
            <w:tcW w:type="dxa" w:w="788"/>
            <w:tcBorders>
              <w:start w:sz="4.0099997520446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8" w:after="0"/>
              <w:ind w:left="3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0..n</w:t>
            </w:r>
          </w:p>
        </w:tc>
        <w:tc>
          <w:tcPr>
            <w:tcW w:type="dxa" w:w="101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102"/>
            <w:tcBorders>
              <w:end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88"/>
            <w:tcBorders>
              <w:start w:sz="4.009999752044678" w:val="single" w:color="#000000"/>
              <w:top w:sz="4.00999975204467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6" w:after="0"/>
              <w:ind w:left="3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0..n</w:t>
            </w:r>
          </w:p>
        </w:tc>
        <w:tc>
          <w:tcPr>
            <w:tcW w:type="dxa" w:w="816"/>
            <w:tcBorders>
              <w:top w:sz="4.009999752044678" w:val="single" w:color="#000000"/>
              <w:end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2"/>
            <w:tcBorders>
              <w:start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0"/>
            <w:tcBorders>
              <w:end w:sz="4.009999752044678" w:val="single" w:color="#000000"/>
              <w:bottom w:sz="8.0199995040893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60"/>
            <w:gridSpan w:val="2"/>
            <w:vMerge/>
            <w:tcBorders>
              <w:start w:sz="4.009999752044678" w:val="single" w:color="#000000"/>
              <w:end w:sz="4.009999752044678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  <w:vMerge/>
            <w:tcBorders>
              <w:start w:sz="4.009999752044678" w:val="single" w:color="#000000"/>
              <w:top w:sz="4.009999752044678" w:val="single" w:color="#000000"/>
              <w:end w:sz="4.009999752044678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  <w:vMerge/>
            <w:tcBorders>
              <w:start w:sz="4.009999752044678" w:val="single" w:color="#000000"/>
              <w:bottom w:sz="8.019999504089355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780"/>
            <w:vMerge/>
            <w:tcBorders>
              <w:end w:sz="4.009999752044678" w:val="single" w:color="#000000"/>
              <w:bottom w:sz="8.019999504089355" w:val="single" w:color="#000000"/>
            </w:tcBorders>
          </w:tcPr>
          <w:p/>
        </w:tc>
        <w:tc>
          <w:tcPr>
            <w:tcW w:type="dxa" w:w="788"/>
            <w:tcBorders>
              <w:bottom w:sz="8.0199995040893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1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102"/>
            <w:tcBorders>
              <w:end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88"/>
            <w:tcBorders>
              <w:start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502"/>
            <w:tcBorders>
              <w:end w:sz="8.019999504089355" w:val="single" w:color="#000000"/>
              <w:bottom w:sz="4.00999975204467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90"/>
            <w:gridSpan w:val="5"/>
            <w:vMerge w:val="restart"/>
            <w:tcBorders>
              <w:start w:sz="8.019999504089355" w:val="single" w:color="#000000"/>
              <w:top w:sz="8.019999504089355" w:val="single" w:color="#000000"/>
              <w:end w:sz="8.019999504089355" w:val="single" w:color="#000000"/>
              <w:bottom w:sz="4.00999975204467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/>
                <w:color w:val="000000"/>
                <w:sz w:val="14"/>
              </w:rPr>
              <w:t>SoftwareArtifact</w:t>
            </w:r>
          </w:p>
        </w:tc>
      </w:tr>
      <w:tr>
        <w:trPr>
          <w:trHeight w:hRule="exact" w:val="117"/>
        </w:trPr>
        <w:tc>
          <w:tcPr>
            <w:tcW w:type="dxa" w:w="1690"/>
            <w:gridSpan w:val="2"/>
            <w:vMerge w:val="restart"/>
            <w:tcBorders>
              <w:start w:sz="8.019999504089355" w:val="single" w:color="#000000"/>
              <w:top w:sz="8.019999504089355" w:val="single" w:color="#000000"/>
              <w:end w:sz="8.019999504089355" w:val="single" w:color="#000000"/>
              <w:bottom w:sz="4.00999975204467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Vulnerability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988"/>
            <w:tcBorders>
              <w:bottom w:sz="8.0199995040893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6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900"/>
            <w:gridSpan w:val="5"/>
            <w:vMerge/>
            <w:tcBorders>
              <w:start w:sz="8.019999504089355" w:val="single" w:color="#000000"/>
              <w:top w:sz="8.019999504089355" w:val="single" w:color="#000000"/>
              <w:end w:sz="8.019999504089355" w:val="single" w:color="#000000"/>
              <w:bottom w:sz="4.009999752044678" w:val="single" w:color="#000000"/>
            </w:tcBorders>
          </w:tcPr>
          <w:p/>
        </w:tc>
      </w:tr>
      <w:tr>
        <w:trPr>
          <w:trHeight w:hRule="exact" w:val="117"/>
        </w:trPr>
        <w:tc>
          <w:tcPr>
            <w:tcW w:type="dxa" w:w="1560"/>
            <w:gridSpan w:val="2"/>
            <w:vMerge/>
            <w:tcBorders>
              <w:start w:sz="8.019999504089355" w:val="single" w:color="#000000"/>
              <w:top w:sz="8.019999504089355" w:val="single" w:color="#000000"/>
              <w:end w:sz="8.019999504089355" w:val="single" w:color="#000000"/>
              <w:bottom w:sz="4.009999752044678" w:val="single" w:color="#000000"/>
            </w:tcBorders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090"/>
            <w:gridSpan w:val="2"/>
            <w:vMerge w:val="restart"/>
            <w:tcBorders>
              <w:start w:sz="8.019999504089355" w:val="single" w:color="#000000"/>
              <w:top w:sz="8.019999504089355" w:val="single" w:color="#000000"/>
              <w:end w:sz="8.019999504089355" w:val="single" w:color="#000000"/>
              <w:bottom w:sz="4.00999975204467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ArtifactReference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290"/>
            <w:gridSpan w:val="5"/>
            <w:vMerge w:val="restart"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34" w:right="864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Repository: String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UniqueId: String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LibraryId: String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Version: String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+ ReleaseDate: Date</w:t>
            </w:r>
          </w:p>
        </w:tc>
      </w:tr>
      <w:tr>
        <w:trPr>
          <w:trHeight w:hRule="exact" w:val="102"/>
        </w:trPr>
        <w:tc>
          <w:tcPr>
            <w:tcW w:type="dxa" w:w="1690"/>
            <w:gridSpan w:val="2"/>
            <w:vMerge w:val="restart"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3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SnykId: String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AssociatedCVE: String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Severity: String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PublishedAt: Date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+ DisclosedAt: Date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560"/>
            <w:gridSpan w:val="2"/>
            <w:vMerge/>
            <w:tcBorders>
              <w:start w:sz="8.019999504089355" w:val="single" w:color="#000000"/>
              <w:top w:sz="8.019999504089355" w:val="single" w:color="#000000"/>
              <w:end w:sz="8.019999504089355" w:val="single" w:color="#000000"/>
              <w:bottom w:sz="4.009999752044678" w:val="single" w:color="#000000"/>
            </w:tcBorders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900"/>
            <w:gridSpan w:val="5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</w:tr>
      <w:tr>
        <w:trPr>
          <w:trHeight w:hRule="exact" w:val="164"/>
        </w:trPr>
        <w:tc>
          <w:tcPr>
            <w:tcW w:type="dxa" w:w="1560"/>
            <w:gridSpan w:val="2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090"/>
            <w:gridSpan w:val="2"/>
            <w:vMerge w:val="restart"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34" w:right="144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TargetRepository: String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+ LibraryIdReference: String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+ VersionRange: String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900"/>
            <w:gridSpan w:val="5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</w:tr>
      <w:tr>
        <w:trPr>
          <w:trHeight w:hRule="exact" w:val="386"/>
        </w:trPr>
        <w:tc>
          <w:tcPr>
            <w:tcW w:type="dxa" w:w="1560"/>
            <w:gridSpan w:val="2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  <w:tcBorders>
              <w:top w:sz="4.009999752044678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3900"/>
            <w:gridSpan w:val="5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</w:tr>
      <w:tr>
        <w:tc>
          <w:tcPr>
            <w:tcW w:type="dxa" w:w="1560"/>
            <w:gridSpan w:val="2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  <w:tcBorders>
              <w:top w:sz="4.009999752044678" w:val="single" w:color="#000000"/>
            </w:tcBorders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3900"/>
            <w:gridSpan w:val="5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</w:tr>
      <w:tr>
        <w:tc>
          <w:tcPr>
            <w:tcW w:type="dxa" w:w="1560"/>
            <w:gridSpan w:val="2"/>
            <w:vMerge/>
            <w:tcBorders>
              <w:start w:sz="8.019999504089355" w:val="single" w:color="#000000"/>
              <w:top w:sz="4.009999752044678" w:val="single" w:color="#000000"/>
              <w:end w:sz="8.019999504089355" w:val="single" w:color="#000000"/>
              <w:bottom w:sz="8.019999504089355" w:val="single" w:color="#000000"/>
            </w:tcBorders>
          </w:tcPr>
          <w:p/>
        </w:tc>
        <w:tc>
          <w:tcPr>
            <w:tcW w:type="dxa" w:w="780"/>
            <w:tcBorders>
              <w:top w:sz="4.009999752044678" w:val="single" w:color="#000000"/>
            </w:tcBorders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</w:tr>
      <w:tr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  <w:tcBorders>
              <w:top w:sz="4.009999752044678" w:val="single" w:color="#000000"/>
            </w:tcBorders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  <w:tc>
          <w:tcPr>
            <w:tcW w:type="dxa" w:w="780"/>
          </w:tcPr>
          <w:p/>
        </w:tc>
      </w:tr>
    </w:tbl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1447800</wp:posOffset>
            </wp:positionV>
            <wp:extent cx="5435600" cy="5816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816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1:7</w:t>
            </w:r>
          </w:p>
        </w:tc>
      </w:tr>
    </w:tbl>
    <w:p>
      <w:pPr>
        <w:autoSpaceDN w:val="0"/>
        <w:autoSpaceDE w:val="0"/>
        <w:widowControl/>
        <w:spacing w:line="136" w:lineRule="exact" w:before="516" w:after="0"/>
        <w:ind w:left="0" w:right="4330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: Vulnerability</w:t>
      </w:r>
    </w:p>
    <w:p>
      <w:pPr>
        <w:autoSpaceDN w:val="0"/>
        <w:autoSpaceDE w:val="0"/>
        <w:widowControl/>
        <w:spacing w:line="136" w:lineRule="exact" w:before="66" w:after="0"/>
        <w:ind w:left="0" w:right="3116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SnykId =               "SNYK-DOTNET-JQUERY-565440"</w:t>
      </w:r>
    </w:p>
    <w:p>
      <w:pPr>
        <w:autoSpaceDN w:val="0"/>
        <w:autoSpaceDE w:val="0"/>
        <w:widowControl/>
        <w:spacing w:line="136" w:lineRule="exact" w:before="20" w:after="0"/>
        <w:ind w:left="0" w:right="4096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AssociatedCVE = �"CVE-2020-11023"</w:t>
      </w:r>
    </w:p>
    <w:p>
      <w:pPr>
        <w:autoSpaceDN w:val="0"/>
        <w:autoSpaceDE w:val="0"/>
        <w:widowControl/>
        <w:spacing w:line="136" w:lineRule="exact" w:before="18" w:after="0"/>
        <w:ind w:left="0" w:right="4700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Severity =             "medium"</w:t>
      </w:r>
    </w:p>
    <w:p>
      <w:pPr>
        <w:autoSpaceDN w:val="0"/>
        <w:autoSpaceDE w:val="0"/>
        <w:widowControl/>
        <w:spacing w:line="136" w:lineRule="exact" w:before="20" w:after="0"/>
        <w:ind w:left="0" w:right="3870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PublishedAt =       "2020-04-13T15:33:49"</w:t>
      </w:r>
    </w:p>
    <w:p>
      <w:pPr>
        <w:autoSpaceDN w:val="0"/>
        <w:autoSpaceDE w:val="0"/>
        <w:widowControl/>
        <w:spacing w:line="136" w:lineRule="exact" w:before="18" w:after="0"/>
        <w:ind w:left="0" w:right="3876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DisclosedAt =       "2020-04-10T00:00:00"</w:t>
      </w:r>
    </w:p>
    <w:p>
      <w:pPr>
        <w:autoSpaceDN w:val="0"/>
        <w:autoSpaceDE w:val="0"/>
        <w:widowControl/>
        <w:spacing w:line="136" w:lineRule="exact" w:before="108" w:after="0"/>
        <w:ind w:left="0" w:right="970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patched by</w:t>
      </w:r>
    </w:p>
    <w:p>
      <w:pPr>
        <w:autoSpaceDN w:val="0"/>
        <w:autoSpaceDE w:val="0"/>
        <w:widowControl/>
        <w:spacing w:line="134" w:lineRule="exact" w:before="40" w:after="0"/>
        <w:ind w:left="2128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references</w:t>
      </w:r>
    </w:p>
    <w:p>
      <w:pPr>
        <w:autoSpaceDN w:val="0"/>
        <w:autoSpaceDE w:val="0"/>
        <w:widowControl/>
        <w:spacing w:line="136" w:lineRule="exact" w:before="78" w:after="0"/>
        <w:ind w:left="0" w:right="4242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affects</w:t>
      </w:r>
    </w:p>
    <w:p>
      <w:pPr>
        <w:autoSpaceDN w:val="0"/>
        <w:tabs>
          <w:tab w:pos="7162" w:val="left"/>
        </w:tabs>
        <w:autoSpaceDE w:val="0"/>
        <w:widowControl/>
        <w:spacing w:line="134" w:lineRule="exact" w:before="156" w:after="0"/>
        <w:ind w:left="110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: SoftwareArtifact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: SoftwareArtifact</w:t>
      </w:r>
    </w:p>
    <w:p>
      <w:pPr>
        <w:autoSpaceDN w:val="0"/>
        <w:autoSpaceDE w:val="0"/>
        <w:widowControl/>
        <w:spacing w:line="136" w:lineRule="exact" w:before="0" w:after="0"/>
        <w:ind w:left="0" w:right="4176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: ArtifactReference</w:t>
      </w:r>
    </w:p>
    <w:p>
      <w:pPr>
        <w:autoSpaceDN w:val="0"/>
        <w:tabs>
          <w:tab w:pos="6474" w:val="left"/>
        </w:tabs>
        <w:autoSpaceDE w:val="0"/>
        <w:widowControl/>
        <w:spacing w:line="136" w:lineRule="exact" w:before="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Repository =    "nuget"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Repository =    "nuget"</w:t>
      </w:r>
    </w:p>
    <w:p>
      <w:pPr>
        <w:autoSpaceDN w:val="0"/>
        <w:tabs>
          <w:tab w:pos="3080" w:val="left"/>
          <w:tab w:pos="6474" w:val="left"/>
        </w:tabs>
        <w:autoSpaceDE w:val="0"/>
        <w:widowControl/>
        <w:spacing w:line="136" w:lineRule="exact" w:before="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UniqueId =       "jQuery:1.4.1"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TargetRepository = "nuget"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UniqueId =       "jQuery:3.5.0"</w:t>
      </w:r>
    </w:p>
    <w:p>
      <w:pPr>
        <w:autoSpaceDN w:val="0"/>
        <w:tabs>
          <w:tab w:pos="3080" w:val="left"/>
          <w:tab w:pos="6474" w:val="left"/>
        </w:tabs>
        <w:autoSpaceDE w:val="0"/>
        <w:widowControl/>
        <w:spacing w:line="136" w:lineRule="exact" w:before="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LibraryId =       "jQuery"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LibraryIdReference = "jQuery"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LibraryId =       "jQuery"</w:t>
      </w:r>
    </w:p>
    <w:p>
      <w:pPr>
        <w:autoSpaceDN w:val="0"/>
        <w:tabs>
          <w:tab w:pos="3080" w:val="left"/>
          <w:tab w:pos="6474" w:val="left"/>
        </w:tabs>
        <w:autoSpaceDE w:val="0"/>
        <w:widowControl/>
        <w:spacing w:line="136" w:lineRule="exact" w:before="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Version =         "1.4.1"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VersionRange = "[1.0.3 ,3.5.0)"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Version =         "3.5.0"</w:t>
      </w:r>
    </w:p>
    <w:p>
      <w:pPr>
        <w:autoSpaceDN w:val="0"/>
        <w:tabs>
          <w:tab w:pos="6474" w:val="left"/>
        </w:tabs>
        <w:autoSpaceDE w:val="0"/>
        <w:widowControl/>
        <w:spacing w:line="136" w:lineRule="exact" w:before="2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ReleaseDate = "2011-01-07T07:54:41"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ReleaseDate = "2020-04-146T21:42:55"</w:t>
      </w:r>
    </w:p>
    <w:p>
      <w:pPr>
        <w:autoSpaceDN w:val="0"/>
        <w:tabs>
          <w:tab w:pos="5924" w:val="left"/>
        </w:tabs>
        <w:autoSpaceDE w:val="0"/>
        <w:widowControl/>
        <w:spacing w:line="136" w:lineRule="exact" w:before="186" w:after="0"/>
        <w:ind w:left="2760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references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current target</w:t>
      </w:r>
    </w:p>
    <w:p>
      <w:pPr>
        <w:autoSpaceDN w:val="0"/>
        <w:tabs>
          <w:tab w:pos="1810" w:val="left"/>
          <w:tab w:pos="4718" w:val="left"/>
          <w:tab w:pos="6950" w:val="left"/>
          <w:tab w:pos="8114" w:val="left"/>
        </w:tabs>
        <w:autoSpaceDE w:val="0"/>
        <w:widowControl/>
        <w:spacing w:line="164" w:lineRule="exact" w:before="0" w:after="0"/>
        <w:ind w:left="646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next release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next version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references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next release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next version</w:t>
      </w:r>
    </w:p>
    <w:p>
      <w:pPr>
        <w:autoSpaceDN w:val="0"/>
        <w:autoSpaceDE w:val="0"/>
        <w:widowControl/>
        <w:spacing w:line="136" w:lineRule="exact" w:before="0" w:after="0"/>
        <w:ind w:left="0" w:right="3002" w:firstLine="0"/>
        <w:jc w:val="righ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references</w:t>
      </w:r>
    </w:p>
    <w:p>
      <w:pPr>
        <w:autoSpaceDN w:val="0"/>
        <w:tabs>
          <w:tab w:pos="4156" w:val="left"/>
          <w:tab w:pos="7162" w:val="left"/>
        </w:tabs>
        <w:autoSpaceDE w:val="0"/>
        <w:widowControl/>
        <w:spacing w:line="136" w:lineRule="exact" w:before="272" w:after="0"/>
        <w:ind w:left="110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: SoftwareArtifact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: SoftwareArtifact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: SoftwareArtifact</w:t>
      </w:r>
    </w:p>
    <w:p>
      <w:pPr>
        <w:autoSpaceDN w:val="0"/>
        <w:tabs>
          <w:tab w:pos="3468" w:val="left"/>
          <w:tab w:pos="6474" w:val="left"/>
        </w:tabs>
        <w:autoSpaceDE w:val="0"/>
        <w:widowControl/>
        <w:spacing w:line="134" w:lineRule="exact" w:before="68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Repository =    "nuget"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Repository =    "nuget"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Repository =    "nuget"</w:t>
      </w:r>
    </w:p>
    <w:p>
      <w:pPr>
        <w:autoSpaceDN w:val="0"/>
        <w:tabs>
          <w:tab w:pos="3468" w:val="left"/>
          <w:tab w:pos="6474" w:val="left"/>
        </w:tabs>
        <w:autoSpaceDE w:val="0"/>
        <w:widowControl/>
        <w:spacing w:line="136" w:lineRule="exact" w:before="2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UniqueId =       "jQuery:1.4.2"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UniqueId =       "jQuery:3.4.0"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UniqueId =       "jQuery:3.4.1"</w:t>
      </w:r>
    </w:p>
    <w:p>
      <w:pPr>
        <w:autoSpaceDN w:val="0"/>
        <w:tabs>
          <w:tab w:pos="3468" w:val="left"/>
          <w:tab w:pos="6474" w:val="left"/>
        </w:tabs>
        <w:autoSpaceDE w:val="0"/>
        <w:widowControl/>
        <w:spacing w:line="136" w:lineRule="exact" w:before="18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LibraryId =       "jQuery"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LibraryId =       "jQuery"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LibraryId =       "jQuery"</w:t>
      </w:r>
    </w:p>
    <w:p>
      <w:pPr>
        <w:autoSpaceDN w:val="0"/>
        <w:tabs>
          <w:tab w:pos="3468" w:val="left"/>
          <w:tab w:pos="6474" w:val="left"/>
        </w:tabs>
        <w:autoSpaceDE w:val="0"/>
        <w:widowControl/>
        <w:spacing w:line="136" w:lineRule="exact" w:before="20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Version =         "1.4.2"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Version =         "3.4.0"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Version =         "3.4.1"</w:t>
      </w:r>
    </w:p>
    <w:p>
      <w:pPr>
        <w:autoSpaceDN w:val="0"/>
        <w:tabs>
          <w:tab w:pos="3468" w:val="left"/>
          <w:tab w:pos="6474" w:val="left"/>
        </w:tabs>
        <w:autoSpaceDE w:val="0"/>
        <w:widowControl/>
        <w:spacing w:line="136" w:lineRule="exact" w:before="18" w:after="0"/>
        <w:ind w:left="462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ReleaseDate = "2011-01-07T07:54:42"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ReleaseDate = "2019-05-026T14:16:36"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ReleaseDate = "2019-05-026T18:16:50"</w:t>
      </w:r>
    </w:p>
    <w:p>
      <w:pPr>
        <w:autoSpaceDN w:val="0"/>
        <w:tabs>
          <w:tab w:pos="5720" w:val="left"/>
        </w:tabs>
        <w:autoSpaceDE w:val="0"/>
        <w:widowControl/>
        <w:spacing w:line="136" w:lineRule="exact" w:before="186" w:after="0"/>
        <w:ind w:left="2346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next version (transitive x54)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next version</w:t>
      </w:r>
    </w:p>
    <w:p>
      <w:pPr>
        <w:autoSpaceDN w:val="0"/>
        <w:tabs>
          <w:tab w:pos="5716" w:val="left"/>
        </w:tabs>
        <w:autoSpaceDE w:val="0"/>
        <w:widowControl/>
        <w:spacing w:line="136" w:lineRule="exact" w:before="156" w:after="0"/>
        <w:ind w:left="2294" w:right="0" w:firstLine="0"/>
        <w:jc w:val="left"/>
      </w:pP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 xml:space="preserve">next release (transitive x54) </w:t>
      </w:r>
      <w:r>
        <w:tab/>
      </w:r>
      <w:r>
        <w:rPr>
          <w:w w:val="96.97999954223633"/>
          <w:rFonts w:ascii="Helvetica" w:hAnsi="Helvetica" w:eastAsia="Helvetica"/>
          <w:b w:val="0"/>
          <w:i w:val="0"/>
          <w:color w:val="000000"/>
          <w:sz w:val="14"/>
        </w:rPr>
        <w:t>next release</w:t>
      </w:r>
    </w:p>
    <w:p>
      <w:pPr>
        <w:autoSpaceDN w:val="0"/>
        <w:autoSpaceDE w:val="0"/>
        <w:widowControl/>
        <w:spacing w:line="186" w:lineRule="exact" w:before="644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2. Example instance of the data model shown in Figure 1</w:t>
      </w:r>
    </w:p>
    <w:p>
      <w:pPr>
        <w:autoSpaceDN w:val="0"/>
        <w:autoSpaceDE w:val="0"/>
        <w:widowControl/>
        <w:spacing w:line="208" w:lineRule="exact" w:before="954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data model deined in Figure 1. As the interfaces of all three repositories are diferent from each other, there</w:t>
      </w:r>
    </w:p>
    <w:p>
      <w:pPr>
        <w:autoSpaceDN w:val="0"/>
        <w:autoSpaceDE w:val="0"/>
        <w:widowControl/>
        <w:spacing w:line="208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one dedicated miner implementation per repository.</w:t>
      </w:r>
    </w:p>
    <w:p>
      <w:pPr>
        <w:autoSpaceDN w:val="0"/>
        <w:autoSpaceDE w:val="0"/>
        <w:widowControl/>
        <w:spacing w:line="206" w:lineRule="exact" w:before="32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task of parsing the list of vulnerabilities and transforming them to the aforementioned data model is</w:t>
      </w:r>
    </w:p>
    <w:p>
      <w:pPr>
        <w:autoSpaceDN w:val="0"/>
        <w:autoSpaceDE w:val="0"/>
        <w:widowControl/>
        <w:spacing w:line="210" w:lineRule="exact" w:before="30" w:after="0"/>
        <w:ind w:left="0" w:right="0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handled by the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Vulnerability Processor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Finally, the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Reference Resolver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enumerates all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ArtifactReference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entities</w:t>
      </w:r>
    </w:p>
    <w:p>
      <w:pPr>
        <w:autoSpaceDN w:val="0"/>
        <w:autoSpaceDE w:val="0"/>
        <w:widowControl/>
        <w:spacing w:line="206" w:lineRule="exact" w:before="32" w:after="0"/>
        <w:ind w:left="0" w:right="0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the database, which implicitly reference a set of artifacts, and converts them to explicit entity-to-entity relations.</w:t>
      </w:r>
    </w:p>
    <w:p>
      <w:pPr>
        <w:autoSpaceDN w:val="0"/>
        <w:autoSpaceDE w:val="0"/>
        <w:widowControl/>
        <w:spacing w:line="208" w:lineRule="exact" w:before="32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is done so that the subsequent analysis does not need to re-resolve those implicit relations. Using those</w:t>
      </w:r>
    </w:p>
    <w:p>
      <w:pPr>
        <w:autoSpaceDN w:val="0"/>
        <w:autoSpaceDE w:val="0"/>
        <w:widowControl/>
        <w:spacing w:line="212" w:lineRule="exact" w:before="2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explicit relations,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Patch Detector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then enumerates all vulnerabilities in the data set and inds those artifacts</w:t>
      </w:r>
    </w:p>
    <w:p>
      <w:pPr>
        <w:autoSpaceDN w:val="0"/>
        <w:autoSpaceDE w:val="0"/>
        <w:widowControl/>
        <w:spacing w:line="208" w:lineRule="exact" w:before="3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patch the vulnerability, i.e. the irst artifacts of the targeted library that are not afected by the vulnerability</w:t>
      </w:r>
    </w:p>
    <w:p>
      <w:pPr>
        <w:autoSpaceDN w:val="0"/>
        <w:autoSpaceDE w:val="0"/>
        <w:widowControl/>
        <w:spacing w:line="208" w:lineRule="exact" w:before="32" w:after="0"/>
        <w:ind w:left="0" w:right="0" w:firstLine="0"/>
        <w:jc w:val="center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anymore. The vulnerability and its patching artifact are connected via an entity-to-entity relation in the database.</w:t>
      </w:r>
    </w:p>
    <w:p>
      <w:pPr>
        <w:autoSpaceDN w:val="0"/>
        <w:tabs>
          <w:tab w:pos="644" w:val="left"/>
        </w:tabs>
        <w:autoSpaceDE w:val="0"/>
        <w:widowControl/>
        <w:spacing w:line="226" w:lineRule="exact" w:before="3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Implementation</w:t>
      </w:r>
    </w:p>
    <w:p>
      <w:pPr>
        <w:autoSpaceDN w:val="0"/>
        <w:autoSpaceDE w:val="0"/>
        <w:widowControl/>
        <w:spacing w:line="206" w:lineRule="exact" w:before="8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previously mentioned, we design a distributed application for the task of aggregating our data set. We</w:t>
      </w:r>
    </w:p>
    <w:p>
      <w:pPr>
        <w:autoSpaceDN w:val="0"/>
        <w:autoSpaceDE w:val="0"/>
        <w:widowControl/>
        <w:spacing w:line="210" w:lineRule="exact" w:before="3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separately implement and package each component, and manage their deployment using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Docker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Portainer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12" w:lineRule="exact" w:before="2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our implementations we use Python 3.8, and our Docker images are based on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python-alpine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image in</w:t>
      </w:r>
    </w:p>
    <w:p>
      <w:pPr>
        <w:autoSpaceDN w:val="0"/>
        <w:autoSpaceDE w:val="0"/>
        <w:widowControl/>
        <w:spacing w:line="210" w:lineRule="exact" w:before="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version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3.8.2-alpine3.11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166" w:lineRule="exact" w:before="37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8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publish our miners and the respective components for postprocessing as open-source Docker images via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GitHub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Due to our data on vulnerabilities being the intellectual property of Snyk Ltd., we cannot publish 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components handling this data. However, they can be obtained directly from Snyk Ltd.</w:t>
      </w:r>
    </w:p>
    <w:p>
      <w:pPr>
        <w:autoSpaceDN w:val="0"/>
        <w:tabs>
          <w:tab w:pos="374" w:val="left"/>
        </w:tabs>
        <w:autoSpaceDE w:val="0"/>
        <w:widowControl/>
        <w:spacing w:line="24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following, we highlight the most important implementation details, the challenges we faced, and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tools we utilized.</w:t>
      </w:r>
    </w:p>
    <w:p>
      <w:pPr>
        <w:autoSpaceDN w:val="0"/>
        <w:autoSpaceDE w:val="0"/>
        <w:widowControl/>
        <w:spacing w:line="236" w:lineRule="exact" w:before="128" w:after="0"/>
        <w:ind w:left="144" w:right="144" w:firstLine="0"/>
        <w:jc w:val="center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Database.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our data set is essentially a large dependency graph with annotated vulnerability nodes, we select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graph database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Neo4j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our storage backend. We deploy it using the oicial Docker image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version 4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5.</w:t>
      </w:r>
    </w:p>
    <w:p>
      <w:pPr>
        <w:autoSpaceDN w:val="0"/>
        <w:autoSpaceDE w:val="0"/>
        <w:widowControl/>
        <w:spacing w:line="238" w:lineRule="exact" w:before="128" w:after="0"/>
        <w:ind w:left="166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Miners.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each repository, we develop and implement a dedicated miner component. For Maven Central we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initially relied on an existing implementation by Benellalam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], which also stores a full dependency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using Neo4j. However, due to multiple problems we faced when executing this implementation (cf. Section 4.3),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had to re-implement the Maven miner from scratch.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our implementations follow an asynchronous Producer-Consumer-Architecture: a producer enumerates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artifacts, which are grouped into batches and piped to a pool of consumer threads. Those consumers store all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artifacts in the database. By decoupling those two processes, periods of low storage throughput do not slow down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artifact enumeration process.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NuGet.org, artifacts are enumerated by consuming an append-only catalog that keeps track of all types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artifact-related events. For each publication event, the miner retrieves corresponding artifact properties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issuing a single HTTP request to the NuGet.org API. The catalog consists of multiple pages, for which the index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located at api.nuget.org/v3/catalog0/index.json.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contrast to that, the NPM Registry provides a single index ile at replicate.npmjs.com/_all_docs,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contains identiiers for all libraries ever created. Our NPM Miner utilizes this identiier to retrieve a list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artifacts belonging to that library at the NPM Registry API.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Finally, for Maven Central we leverage an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Apache Lucene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index of all artifact identiiers, which is located at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>https://repo.maven.apache.org/maven2/.index/</w:t>
          </w:r>
        </w:hyperlink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 and updated weekly. For each identiier, the miner downloads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corresponding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pom.xml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ile from Maven Central and extracts information about the artifact and its dependencies.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in contrast to other repositories, Maven’s dependencies cannot always be extracted by looking at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single ile. They may be speciied in one of the artifact’s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parent POM iles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or use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property values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that need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resolved in the POM ile hierarchy. These problems can be addressed by using the Maven command-line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interfaces to resolve dependencies, which does, however, take a very long time and uses a signiicant amount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disk space for POM ile caching. Instead, we developed our own dependency resolver using the standard Java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XML libraries, which signiicantly increases the performance of our application. To guarantee correctness,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 a secondary dependency resolver as a fallback: Whenever our XML resolver fails to resolve a property value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(which may happen in cases of so-called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import-scope dependencies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), we re-resolve dependencies using the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Eclipse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Aether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library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As this library is solely available for the JVM platform, we implement the Maven miner in Java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deploy it using the oicial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maven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Docker image in version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3.6.0-jdk-8-alpine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126" w:after="0"/>
        <w:ind w:left="166" w:right="144" w:firstLine="8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Vulnerability Processor.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vulnerability processor consumes our snapshot of the Snyk Vulnerability Database,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has been provided in the JSON ile format and creates corresponding entities of type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Vulnerability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>ArtifactReference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the database.</w:t>
      </w:r>
    </w:p>
    <w:p>
      <w:pPr>
        <w:autoSpaceDN w:val="0"/>
        <w:autoSpaceDE w:val="0"/>
        <w:widowControl/>
        <w:spacing w:line="236" w:lineRule="exact" w:before="13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Postprocessing.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After the Miners and Vulnerability Processor have aggregated all data necessary, two distinct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components perform postprocessing steps in order to prepare the data for analysis.</w:t>
      </w:r>
    </w:p>
    <w:p>
      <w:pPr>
        <w:autoSpaceDN w:val="0"/>
        <w:autoSpaceDE w:val="0"/>
        <w:widowControl/>
        <w:spacing w:line="200" w:lineRule="exact" w:before="132" w:after="0"/>
        <w:ind w:left="168" w:right="144" w:firstLine="6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The repository is located 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7" w:history="1">
          <w:r>
            <w:rPr>
              <w:rStyle w:val="Hyperlink"/>
            </w:rPr>
            <w:t>https://github.com/sse-labs/dependency-graph-miner.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 archived version is available via Zenodo at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 xml:space="preserve"> https: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 xml:space="preserve">//doi.org/10.5281/zenodo.5040439 </w:t>
          </w:r>
        </w:hyperlink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hyperlink r:id="rId18" w:history="1">
          <w:r>
            <w:rPr>
              <w:rStyle w:val="Hyperlink"/>
            </w:rPr>
            <w:t>9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 xml:space="preserve">hub.docker.com/_/neo4j </w:t>
          </w:r>
        </w:hyperlink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wiki.eclipse.org/Aether</w:t>
      </w:r>
    </w:p>
    <w:p>
      <w:pPr>
        <w:autoSpaceDN w:val="0"/>
        <w:autoSpaceDE w:val="0"/>
        <w:widowControl/>
        <w:spacing w:line="166" w:lineRule="exact" w:before="31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7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1:9</w:t>
            </w:r>
          </w:p>
        </w:tc>
      </w:tr>
    </w:tbl>
    <w:p>
      <w:pPr>
        <w:autoSpaceDN w:val="0"/>
        <w:autoSpaceDE w:val="0"/>
        <w:widowControl/>
        <w:spacing w:line="2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92.0" w:type="dxa"/>
      </w:tblPr>
      <w:tblGrid>
        <w:gridCol w:w="9360"/>
      </w:tblGrid>
      <w:tr>
        <w:trPr>
          <w:trHeight w:hRule="exact" w:val="372"/>
        </w:trPr>
        <w:tc>
          <w:tcPr>
            <w:tcW w:type="dxa" w:w="697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7.99999999999955" w:type="dxa"/>
            </w:tblPr>
            <w:tblGrid>
              <w:gridCol w:w="698"/>
              <w:gridCol w:w="698"/>
              <w:gridCol w:w="698"/>
              <w:gridCol w:w="698"/>
              <w:gridCol w:w="698"/>
              <w:gridCol w:w="698"/>
              <w:gridCol w:w="698"/>
              <w:gridCol w:w="698"/>
              <w:gridCol w:w="698"/>
              <w:gridCol w:w="698"/>
            </w:tblGrid>
            <w:tr>
              <w:trPr>
                <w:trHeight w:hRule="exact" w:val="224"/>
              </w:trPr>
              <w:tc>
                <w:tcPr>
                  <w:tcW w:type="dxa" w:w="486"/>
                  <w:tcBorders/>
                  <w:shd w:fill="ffbfb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1.0.0</w:t>
                  </w:r>
                </w:p>
              </w:tc>
              <w:tc>
                <w:tcPr>
                  <w:tcW w:type="dxa" w:w="70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6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1.8.0</w:t>
                  </w:r>
                </w:p>
              </w:tc>
              <w:tc>
                <w:tcPr>
                  <w:tcW w:type="dxa" w:w="79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6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1.8.11</w:t>
                  </w:r>
                </w:p>
              </w:tc>
              <w:tc>
                <w:tcPr>
                  <w:tcW w:type="dxa" w:w="7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6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1.8.12</w:t>
                  </w:r>
                </w:p>
              </w:tc>
              <w:tc>
                <w:tcPr>
                  <w:tcW w:type="dxa" w:w="79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6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1.8.13</w:t>
                  </w:r>
                </w:p>
              </w:tc>
              <w:tc>
                <w:tcPr>
                  <w:tcW w:type="dxa" w:w="69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10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1.9.0</w:t>
                  </w:r>
                </w:p>
              </w:tc>
              <w:tc>
                <w:tcPr>
                  <w:tcW w:type="dxa" w:w="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114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1.9.9</w:t>
                  </w:r>
                </w:p>
              </w:tc>
              <w:tc>
                <w:tcPr>
                  <w:tcW w:type="dxa" w:w="484"/>
                  <w:tcBorders/>
                  <w:shd w:fill="ffbfb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2.0.0</w:t>
                  </w:r>
                </w:p>
              </w:tc>
              <w:tc>
                <w:tcPr>
                  <w:tcW w:type="dxa" w:w="70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6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2.0.3</w:t>
                  </w:r>
                </w:p>
              </w:tc>
              <w:tc>
                <w:tcPr>
                  <w:tcW w:type="dxa" w:w="63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22" w:after="0"/>
                    <w:ind w:left="0" w:right="44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3.0.0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86" w:lineRule="exact" w:before="25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3. Detecting patching library releases</w:t>
      </w:r>
    </w:p>
    <w:p>
      <w:pPr>
        <w:autoSpaceDN w:val="0"/>
        <w:autoSpaceDE w:val="0"/>
        <w:widowControl/>
        <w:spacing w:line="240" w:lineRule="exact" w:before="360" w:after="0"/>
        <w:ind w:left="166" w:right="144" w:firstLine="20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Reference Resolver converts a number of implicit relations between database entities into explicit relations,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enables us to greatly improve the performance of our subsequent analyses and simpliies transitive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queries to the database. It irst processes all artifacts for each unique library identiier and creates relations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type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NEXT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NEXT_RELEASE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 These represent the order of versions (according to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Semantic Versioning 2.0.0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speciication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11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) and the order of release dates for all artifacts of the given library, as illustrated in our data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Figure 1. Afterwards, the Reference Resolver connects all database entities of type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ArtifactReference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their target artifacts by creating direct relations of type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REFERENCES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. This is done by parsing the speciic version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range qualiier and then iltering all artifacts of the target library for matching versions. The Reference Resolver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also creates a special relation called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CURRENT_TAR’ET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between each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ArtifactReference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its target artifact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the highest version number. The result of a successful run based on a reference to the Nuget.org library 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>jQuery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can be seen in Figure 2.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Finally, the Patch Detector builds on top of the transformations performed by the Reference Resolver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detects the set of patches for each vulnerability. As the range of version numbers afected by a vulnerability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may be discontinuous, it is possible that there are multiple patches for a single vulnerability. The component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incorporates two diferent approaches: First it checks whether we have explicit data on the patching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artifact, which is true for most of the vulnerabilities. If no such data exists, the patching artifacts are calculated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inding the irst non-afected library releases for which the predecessor is afected by the vulnerability.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process is illustrated in Figure 3, where version numbers highlighted red are afected by a vulnerability,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green version numbers indicate the detected patches. In the database, a vulnerability is connected to each of its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patches with a relation of type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PATCHED_BY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644" w:val="left"/>
        </w:tabs>
        <w:autoSpaceDE w:val="0"/>
        <w:widowControl/>
        <w:spacing w:line="224" w:lineRule="exact" w:before="22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Execution Results</w:t>
      </w:r>
    </w:p>
    <w:p>
      <w:pPr>
        <w:autoSpaceDN w:val="0"/>
        <w:autoSpaceDE w:val="0"/>
        <w:widowControl/>
        <w:spacing w:line="240" w:lineRule="exact" w:before="56" w:after="0"/>
        <w:ind w:left="174" w:right="144" w:hanging="1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initially executed our miner throughout the course of 70 days. The irst phase was dedicated to running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Miners for all three repositories, which took a total of 43 days. The second step of executing the Vulnerability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Processor took less than one minute, whereas the postprocessing phase required another 27 days to complete.</w:t>
      </w:r>
    </w:p>
    <w:p>
      <w:pPr>
        <w:autoSpaceDN w:val="0"/>
        <w:autoSpaceDE w:val="0"/>
        <w:widowControl/>
        <w:spacing w:line="208" w:lineRule="exact" w:before="30" w:after="0"/>
        <w:ind w:left="16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identiied two main factors with signiicant impact on the application performance:</w:t>
      </w:r>
    </w:p>
    <w:p>
      <w:pPr>
        <w:autoSpaceDN w:val="0"/>
        <w:autoSpaceDE w:val="0"/>
        <w:widowControl/>
        <w:spacing w:line="238" w:lineRule="exact" w:before="54" w:after="0"/>
        <w:ind w:left="662" w:right="144" w:hanging="21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Maven Miner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our Maven Miner component we initially reused an existing implementation published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Benelallam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in 2019. During its execution, we observed a large variation regarding the artifact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mining speed. Furthermore, some internal components of the application required constant manual restarts,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which lead to additional performance penalties. Due to those problems, we aborted the program execution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instead developed our own Maven Miner implementation from scratch (cf. Section 4.2).</w:t>
      </w:r>
    </w:p>
    <w:p>
      <w:pPr>
        <w:autoSpaceDN w:val="0"/>
        <w:autoSpaceDE w:val="0"/>
        <w:widowControl/>
        <w:spacing w:line="238" w:lineRule="exact" w:before="4" w:after="0"/>
        <w:ind w:left="662" w:right="0" w:hanging="21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Reference Resolver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Reference Resolver identiies potential targets of a reference, which involves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lookup via their unique library identiier. For all three repositories, these identiiers are generally case-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insensitive. However, in NuGet.org references often use a style of capitalization that difers from the original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deinition. Therefore, the Reference Resolver is required to do a case-insensitive property lookup in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Neo4j database, which turned out to be signiicantly slower than an exact-match lookup. For future runs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NuGet.org Miner, this problem has been averted by converting all package names to lowercase.</w:t>
      </w:r>
    </w:p>
    <w:p>
      <w:pPr>
        <w:autoSpaceDN w:val="0"/>
        <w:autoSpaceDE w:val="0"/>
        <w:widowControl/>
        <w:spacing w:line="240" w:lineRule="exact" w:before="48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Running our own Maven Miner implementation took additional 14 days, including the second phase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postprocessing. Our inal data for NuGet.org and the NPM Registry is up-to-date as of June 2020, while the data</w:t>
      </w:r>
    </w:p>
    <w:p>
      <w:pPr>
        <w:autoSpaceDN w:val="0"/>
        <w:autoSpaceDE w:val="0"/>
        <w:widowControl/>
        <w:spacing w:line="194" w:lineRule="exact" w:before="166" w:after="0"/>
        <w:ind w:left="172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semver.org/</w:t>
      </w:r>
    </w:p>
    <w:p>
      <w:pPr>
        <w:autoSpaceDN w:val="0"/>
        <w:autoSpaceDE w:val="0"/>
        <w:widowControl/>
        <w:spacing w:line="166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34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1:10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76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  <w:tr>
        <w:trPr>
          <w:trHeight w:hRule="exact" w:val="2240"/>
        </w:trPr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2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15</w:t>
            </w:r>
          </w:p>
          <w:p>
            <w:pPr>
              <w:autoSpaceDN w:val="0"/>
              <w:autoSpaceDE w:val="0"/>
              <w:widowControl/>
              <w:spacing w:line="208" w:lineRule="exact" w:before="358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</w:t>
            </w:r>
          </w:p>
          <w:p>
            <w:pPr>
              <w:autoSpaceDN w:val="0"/>
              <w:autoSpaceDE w:val="0"/>
              <w:widowControl/>
              <w:spacing w:line="208" w:lineRule="exact" w:before="360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</w:t>
            </w:r>
          </w:p>
          <w:p>
            <w:pPr>
              <w:autoSpaceDN w:val="0"/>
              <w:autoSpaceDE w:val="0"/>
              <w:widowControl/>
              <w:spacing w:line="208" w:lineRule="exact" w:before="358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6160"/>
            <w:gridSpan w:val="3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  <w:gridCol w:w="246"/>
            </w:tblGrid>
            <w:tr>
              <w:trPr>
                <w:trHeight w:hRule="exact" w:val="70"/>
              </w:trPr>
              <w:tc>
                <w:tcPr>
                  <w:tcW w:type="dxa" w:w="594"/>
                  <w:gridSpan w:val="7"/>
                  <w:tcBorders>
                    <w:top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68"/>
                  <w:gridSpan w:val="7"/>
                  <w:tcBorders>
                    <w:top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2"/>
                  <w:gridSpan w:val="7"/>
                  <w:tcBorders>
                    <w:top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94"/>
                  <w:gridSpan w:val="4"/>
                  <w:tcBorders>
                    <w:top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56"/>
              </w:trPr>
              <w:tc>
                <w:tcPr>
                  <w:tcW w:type="dxa" w:w="106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88"/>
                  <w:gridSpan w:val="6"/>
                  <w:vMerge w:val="restart"/>
                  <w:tcBorders>
                    <w:start w:sz="6.375999927520752" w:val="single" w:color="#000000"/>
                    <w:end w:sz="3.187999963760376" w:val="single" w:color="#CACACA"/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6.000000000000227" w:type="dxa"/>
                  </w:tblPr>
                  <w:tblGrid>
                    <w:gridCol w:w="163"/>
                    <w:gridCol w:w="163"/>
                    <w:gridCol w:w="163"/>
                  </w:tblGrid>
                  <w:tr>
                    <w:trPr>
                      <w:trHeight w:hRule="exact" w:val="244"/>
                    </w:trPr>
                    <w:tc>
                      <w:tcPr>
                        <w:tcW w:type="dxa" w:w="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63.99999999999977" w:type="dxa"/>
                        </w:tblPr>
                        <w:tblGrid>
                          <w:gridCol w:w="14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46"/>
                              <w:tcBorders>
                                <w:end w:sz="6.375999927520752" w:val="single" w:color="#0000F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1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64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0.0" w:type="dxa"/>
                        </w:tblPr>
                        <w:tblGrid>
                          <w:gridCol w:w="100"/>
                        </w:tblGrid>
                        <w:tr>
                          <w:trPr>
                            <w:trHeight w:hRule="exact" w:val="100"/>
                          </w:trPr>
                          <w:tc>
                            <w:tcPr>
                              <w:tcW w:type="dxa" w:w="46"/>
                              <w:tcBorders>
                                <w:start w:sz="6.375999927520752" w:val="single" w:color="#0000F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2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8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Mi</w:t>
                        </w:r>
                      </w:p>
                    </w:tc>
                  </w:tr>
                  <w:tr>
                    <w:trPr>
                      <w:trHeight w:hRule="exact" w:val="256"/>
                    </w:trPr>
                    <w:tc>
                      <w:tcPr>
                        <w:tcW w:type="dxa" w:w="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50.0" w:type="dxa"/>
                        </w:tblPr>
                        <w:tblGrid>
                          <w:gridCol w:w="140"/>
                        </w:tblGrid>
                        <w:tr>
                          <w:trPr>
                            <w:trHeight w:hRule="exact" w:val="138"/>
                          </w:trPr>
                          <w:tc>
                            <w:tcPr>
                              <w:tcW w:type="dxa" w:w="46"/>
                              <w:tcBorders>
                                <w:start w:sz="6.375999927520752" w:val="single" w:color="#FF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1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7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0.0" w:type="dxa"/>
                        </w:tblPr>
                        <w:tblGrid>
                          <w:gridCol w:w="100"/>
                        </w:tblGrid>
                        <w:tr>
                          <w:trPr>
                            <w:trHeight w:hRule="exact" w:val="98"/>
                          </w:trPr>
                          <w:tc>
                            <w:tcPr>
                              <w:tcW w:type="dxa" w:w="46"/>
                              <w:tcBorders>
                                <w:start w:sz="6.375999927520752" w:val="single" w:color="#FF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2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8" w:lineRule="exact" w:before="4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Mi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100"/>
                  <w:tcBorders>
                    <w:start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0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06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0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0"/>
                  <w:tcBorders/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FF0000"/>
                      <w:sz w:val="20"/>
                    </w:rPr>
                    <w:t>1</w:t>
                  </w:r>
                </w:p>
              </w:tc>
              <w:tc>
                <w:tcPr>
                  <w:tcW w:type="dxa" w:w="8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FF0000"/>
                      <w:sz w:val="20"/>
                    </w:rPr>
                    <w:t>3</w:t>
                  </w:r>
                </w:p>
              </w:tc>
              <w:tc>
                <w:tcPr>
                  <w:tcW w:type="dxa" w:w="2002"/>
                  <w:gridSpan w:val="7"/>
                  <w:tcBorders>
                    <w:top w:sz="3.187999963760376" w:val="single" w:color="#CACACA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0" w:after="0"/>
                    <w:ind w:left="46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FF0000"/>
                      <w:sz w:val="20"/>
                    </w:rPr>
                    <w:t>56</w:t>
                  </w:r>
                </w:p>
              </w:tc>
              <w:tc>
                <w:tcPr>
                  <w:tcW w:type="dxa" w:w="594"/>
                  <w:gridSpan w:val="4"/>
                  <w:vMerge w:val="restart"/>
                  <w:tcBorders>
                    <w:start w:sz="3.187999963760376" w:val="single" w:color="#CACACA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413"/>
              </w:trPr>
              <w:tc>
                <w:tcPr>
                  <w:tcW w:type="dxa" w:w="246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1476"/>
                  <w:gridSpan w:val="6"/>
                  <w:vMerge/>
                  <w:tcBorders>
                    <w:start w:sz="6.375999927520752" w:val="single" w:color="#000000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100"/>
                  <w:tcBorders>
                    <w:start w:sz="3.187999963760376" w:val="single" w:color="#CACACA"/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 xml:space="preserve">l </w:t>
                  </w:r>
                  <w:r>
                    <w:br/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ll</w:t>
                  </w:r>
                </w:p>
              </w:tc>
              <w:tc>
                <w:tcPr>
                  <w:tcW w:type="dxa" w:w="140"/>
                  <w:tcBorders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 xml:space="preserve">i </w:t>
                  </w:r>
                  <w:r>
                    <w:br/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lio</w:t>
                  </w:r>
                </w:p>
              </w:tc>
              <w:tc>
                <w:tcPr>
                  <w:tcW w:type="dxa" w:w="200"/>
                  <w:tcBorders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 xml:space="preserve">n 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 xml:space="preserve">n </w:t>
                  </w:r>
                </w:p>
              </w:tc>
              <w:tc>
                <w:tcPr>
                  <w:tcW w:type="dxa" w:w="1106"/>
                  <w:tcBorders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8" w:lineRule="exact" w:before="0" w:after="0"/>
                    <w:ind w:left="0" w:right="288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 xml:space="preserve">Libraries 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Artifacts</w:t>
                  </w:r>
                </w:p>
              </w:tc>
              <w:tc>
                <w:tcPr>
                  <w:tcW w:type="dxa" w:w="200"/>
                  <w:tcBorders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0"/>
                  <w:tcBorders>
                    <w:end w:sz="6.375999927520752" w:val="single" w:color="#FF0000"/>
                    <w:bottom w:sz="3.187999963760376" w:val="single" w:color="#CACACA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"/>
                  <w:tcBorders>
                    <w:start w:sz="6.375999927520752" w:val="single" w:color="#FF0000"/>
                  </w:tcBorders>
                  <w:shd w:fill="ffb2b2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6"/>
                  <w:tcBorders>
                    <w:top w:sz="6.375999927520752" w:val="single" w:color="#FF0000"/>
                    <w:end w:sz="6.375999927520752" w:val="single" w:color="#FF0000"/>
                    <w:bottom w:sz="3.187999963760376" w:val="single" w:color="#CACACA"/>
                  </w:tcBorders>
                  <w:shd w:fill="ffb2b2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84"/>
                  <w:gridSpan w:val="4"/>
                  <w:vMerge/>
                  <w:tcBorders>
                    <w:start w:sz="3.187999963760376" w:val="single" w:color="#CACACA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37"/>
              </w:trPr>
              <w:tc>
                <w:tcPr>
                  <w:tcW w:type="dxa" w:w="344"/>
                  <w:gridSpan w:val="5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bottom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0"/>
                  <w:gridSpan w:val="2"/>
                  <w:vMerge w:val="restart"/>
                  <w:tcBorders>
                    <w:top w:sz="3.187999963760376" w:val="single" w:color="#CACACA"/>
                    <w:end w:sz="3.187999963760376" w:val="single" w:color="#CACACA"/>
                    <w:bottom w:sz="6.375999927520752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0" w:after="0"/>
                    <w:ind w:left="50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Th</w:t>
                  </w:r>
                </w:p>
              </w:tc>
              <w:tc>
                <w:tcPr>
                  <w:tcW w:type="dxa" w:w="1886"/>
                  <w:gridSpan w:val="6"/>
                  <w:vMerge w:val="restart"/>
                  <w:tcBorders>
                    <w:start w:sz="3.187999963760376" w:val="single" w:color="#CACACA"/>
                    <w:top w:sz="6.375999927520752" w:val="single" w:color="#000000"/>
                    <w:end w:sz="6.375999927520752" w:val="single" w:color="#FF0000"/>
                    <w:bottom w:sz="6.375999927520752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18.000000000000114" w:type="dxa"/>
                  </w:tblPr>
                  <w:tblGrid>
                    <w:gridCol w:w="943"/>
                    <w:gridCol w:w="943"/>
                  </w:tblGrid>
                  <w:tr>
                    <w:trPr>
                      <w:trHeight w:hRule="exact" w:val="294"/>
                    </w:trPr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8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FF0000"/>
                            <w:sz w:val="20"/>
                          </w:rPr>
                          <w:t>22</w:t>
                        </w:r>
                      </w:p>
                    </w:tc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4" w:lineRule="exact" w:before="70" w:after="0"/>
                          <w:ind w:left="6" w:right="0" w:firstLine="0"/>
                          <w:jc w:val="left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724C26"/>
                            <w:sz w:val="20"/>
                          </w:rPr>
                          <w:t>4</w:t>
                        </w:r>
                        <w:r>
                          <w:rPr>
                            <w:rFonts w:ascii="rtxmi" w:hAnsi="rtxmi" w:eastAsia="rtxmi"/>
                            <w:b w:val="0"/>
                            <w:i w:val="0"/>
                            <w:color w:val="724C26"/>
                            <w:sz w:val="20"/>
                          </w:rPr>
                          <w:t>.</w:t>
                        </w: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724C26"/>
                            <w:sz w:val="20"/>
                          </w:rPr>
                          <w:t>04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82"/>
                  <w:vMerge w:val="restart"/>
                  <w:tcBorders>
                    <w:start w:sz="6.375999927520752" w:val="single" w:color="#FF0000"/>
                    <w:end w:sz="3.187999963760376" w:val="single" w:color="#CACACA"/>
                  </w:tcBorders>
                  <w:shd w:fill="ffb2b2"/>
                  <w:tcMar>
                    <w:start w:w="0" w:type="dxa"/>
                    <w:end w:w="0" w:type="dxa"/>
                  </w:tcMar>
                  <w:shd w:fill="ffb2b2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6"/>
                  <w:vMerge w:val="restart"/>
                  <w:tcBorders>
                    <w:top w:sz="3.187999963760376" w:val="single" w:color="#CACACA"/>
                    <w:end w:sz="6.375999927520752" w:val="single" w:color="#FF0000"/>
                    <w:bottom w:sz="3.187999963760376" w:val="single" w:color="#CACACA"/>
                  </w:tcBorders>
                  <w:shd w:fill="ffb2b2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886"/>
                  <w:gridSpan w:val="6"/>
                  <w:vMerge w:val="restart"/>
                  <w:tcBorders>
                    <w:start w:sz="6.375999927520752" w:val="single" w:color="#FF0000"/>
                    <w:top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94"/>
                  <w:gridSpan w:val="4"/>
                  <w:vMerge w:val="restart"/>
                  <w:tcBorders>
                    <w:start w:sz="3.187999963760376" w:val="single" w:color="#CACACA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83"/>
              </w:trPr>
              <w:tc>
                <w:tcPr>
                  <w:tcW w:type="dxa" w:w="246"/>
                  <w:vMerge/>
                  <w:tcBorders>
                    <w:start w:sz="6.375999927520752" w:val="single" w:color="#000000"/>
                    <w:top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46"/>
                  <w:vMerge/>
                  <w:tcBorders>
                    <w:start w:sz="6.375999927520752" w:val="single" w:color="#000000"/>
                  </w:tcBorders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6"/>
                  <w:vMerge/>
                  <w:tcBorders/>
                </w:tcPr>
                <w:p/>
              </w:tc>
              <w:tc>
                <w:tcPr>
                  <w:tcW w:type="dxa" w:w="24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92"/>
                  <w:gridSpan w:val="2"/>
                  <w:vMerge/>
                  <w:tcBorders>
                    <w:top w:sz="3.187999963760376" w:val="single" w:color="#CACACA"/>
                    <w:end w:sz="3.187999963760376" w:val="single" w:color="#CACACA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1476"/>
                  <w:gridSpan w:val="6"/>
                  <w:vMerge/>
                  <w:tcBorders>
                    <w:start w:sz="3.187999963760376" w:val="single" w:color="#CACACA"/>
                    <w:top w:sz="3.187999963760376" w:val="single" w:color="#CACACA"/>
                    <w:end w:sz="6.375999927520752" w:val="single" w:color="#FF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246"/>
                  <w:vMerge/>
                  <w:tcBorders>
                    <w:start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vMerge/>
                  <w:tcBorders>
                    <w:top w:sz="3.187999963760376" w:val="single" w:color="#CACACA"/>
                    <w:end w:sz="6.375999927520752" w:val="single" w:color="#FF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1476"/>
                  <w:gridSpan w:val="6"/>
                  <w:vMerge/>
                  <w:tcBorders>
                    <w:start w:sz="6.375999927520752" w:val="single" w:color="#FF0000"/>
                    <w:top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984"/>
                  <w:gridSpan w:val="4"/>
                  <w:vMerge/>
                  <w:tcBorders>
                    <w:start w:sz="3.187999963760376" w:val="single" w:color="#CACACA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21"/>
              </w:trPr>
              <w:tc>
                <w:tcPr>
                  <w:tcW w:type="dxa" w:w="246"/>
                  <w:vMerge/>
                  <w:tcBorders>
                    <w:start w:sz="6.375999927520752" w:val="single" w:color="#000000"/>
                    <w:top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  <w:vMerge/>
                  <w:tcBorders>
                    <w:top w:sz="3.187999963760376" w:val="single" w:color="#CACACA"/>
                    <w:end w:sz="6.375999927520752" w:val="single" w:color="#FF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1476"/>
                  <w:gridSpan w:val="6"/>
                  <w:vMerge/>
                  <w:tcBorders>
                    <w:start w:sz="6.375999927520752" w:val="single" w:color="#FF0000"/>
                    <w:top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984"/>
                  <w:gridSpan w:val="4"/>
                  <w:vMerge/>
                  <w:tcBorders>
                    <w:start w:sz="3.187999963760376" w:val="single" w:color="#CACACA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</w:tr>
            <w:tr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</w:tr>
            <w:tr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</w:tr>
            <w:tr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</w:tr>
            <w:tr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</w:tr>
            <w:tr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  <w:tc>
                <w:tcPr>
                  <w:tcW w:type="dxa" w:w="246"/>
                </w:tcPr>
                <w:p/>
              </w:tc>
            </w:tr>
          </w:tbl>
          <w:p/>
        </w:tc>
      </w:tr>
      <w:tr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</w:tr>
    </w:tbl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4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1:11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68" w:right="144" w:firstLine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duration between vulnerability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disclosure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patch release is of interest, as well as a comparison of the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values.</w:t>
      </w:r>
    </w:p>
    <w:p>
      <w:pPr>
        <w:autoSpaceDN w:val="0"/>
        <w:autoSpaceDE w:val="0"/>
        <w:widowControl/>
        <w:spacing w:line="238" w:lineRule="exact" w:before="170" w:after="0"/>
        <w:ind w:left="174" w:right="168" w:firstLine="200"/>
        <w:jc w:val="both"/>
      </w:pPr>
      <w:r>
        <w:rPr>
          <w:rFonts w:ascii="LinLibertineTBI" w:hAnsi="LinLibertineTBI" w:eastAsia="LinLibertineTBI"/>
          <w:b/>
          <w:i w:val="0"/>
          <w:color w:val="000000"/>
          <w:sz w:val="20"/>
        </w:rPr>
        <w:t>RQ2: What is the transitive impact of vulnerabilities?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determine the number of artifacts that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afected by a given vulnerability in the irst place. While this is rather trivial to calculate for artifacts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directly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afected by a vulnerability, it is interesting to also identify artifacts that are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transitively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afected. It is especially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relevant to compare these values across diferent repositories since the inluence of vulnerabilities is expected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vary. The results are likely to help us understand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net impact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 vulnerability may have, depending on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respective repository.</w:t>
      </w:r>
    </w:p>
    <w:p>
      <w:pPr>
        <w:autoSpaceDN w:val="0"/>
        <w:autoSpaceDE w:val="0"/>
        <w:widowControl/>
        <w:spacing w:line="238" w:lineRule="exact" w:before="170" w:after="0"/>
        <w:ind w:left="168" w:right="0" w:firstLine="200"/>
        <w:jc w:val="left"/>
      </w:pPr>
      <w:r>
        <w:rPr>
          <w:rFonts w:ascii="LinLibertineTBI" w:hAnsi="LinLibertineTBI" w:eastAsia="LinLibertineTBI"/>
          <w:b/>
          <w:i w:val="0"/>
          <w:color w:val="000000"/>
          <w:sz w:val="20"/>
        </w:rPr>
        <w:t>RQ3: How long does it take developers to upgrade vulnerable direct dependencies?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analyze the arti-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facts directly depending on a vulnerable artifact. Our overall goal is to understand when vulnerable dependencies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are ixed by library developers, as compared to the vulnerability’s publication. It is also interesting to see whether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or not these upgrade durations depend on the respective library, and how they difer across multiple repositories.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results may help library developers to understand the consequences of vulnerable dependencies, and other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developers to carefully select dependencies for their project.</w:t>
      </w:r>
    </w:p>
    <w:p>
      <w:pPr>
        <w:autoSpaceDN w:val="0"/>
        <w:autoSpaceDE w:val="0"/>
        <w:widowControl/>
        <w:spacing w:line="238" w:lineRule="exact" w:before="170" w:after="0"/>
        <w:ind w:left="168" w:right="174" w:firstLine="206"/>
        <w:jc w:val="both"/>
      </w:pPr>
      <w:r>
        <w:rPr>
          <w:rFonts w:ascii="LinLibertineTBI" w:hAnsi="LinLibertineTBI" w:eastAsia="LinLibertineTBI"/>
          <w:b/>
          <w:i w:val="0"/>
          <w:color w:val="000000"/>
          <w:sz w:val="20"/>
        </w:rPr>
        <w:t>RQ4: Do developers adhere to published security advisories?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investigate whether or not developers use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vulnerable dependencies, for which the corresponding security advisory has already been made public. The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indicate whether or not vulnerability publications are being monitored and considered during development.</w:t>
      </w:r>
    </w:p>
    <w:p>
      <w:pPr>
        <w:autoSpaceDN w:val="0"/>
        <w:tabs>
          <w:tab w:pos="644" w:val="left"/>
        </w:tabs>
        <w:autoSpaceDE w:val="0"/>
        <w:widowControl/>
        <w:spacing w:line="226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Methodology</w:t>
      </w:r>
    </w:p>
    <w:p>
      <w:pPr>
        <w:autoSpaceDN w:val="0"/>
        <w:autoSpaceDE w:val="0"/>
        <w:widowControl/>
        <w:spacing w:line="238" w:lineRule="exact" w:before="56" w:after="0"/>
        <w:ind w:left="174" w:right="144" w:hanging="1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 extract diferent metrics from our data set in order to answer the RQs deined above. Besides those automated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analyses, in some cases, we also require utilities for manual data exploration, which we implement using Python,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Plotly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Dash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implement two diferent modes of operation regarding the detection of dependencies for all metrics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involve transitive relations. In the data set, a dependency is modeled using a node of type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ArtifactReference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is connected to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all valid releases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the target library (as seen in Figure 2). Considering all of those targets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as possible dependencies vastly increases the search space of the respective analysis, and does not correspond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reality, where a package manager picks exactly one of the valid target releases. Therefore, this mode of operation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results in data that is an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overapproximation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txsyb" w:hAnsi="txsyb" w:eastAsia="txsyb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of reality.</w:t>
      </w:r>
    </w:p>
    <w:p>
      <w:pPr>
        <w:autoSpaceDN w:val="0"/>
        <w:autoSpaceDE w:val="0"/>
        <w:widowControl/>
        <w:spacing w:line="240" w:lineRule="exact" w:before="0" w:after="0"/>
        <w:ind w:left="168" w:right="0" w:firstLine="20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Another option for dependency detection is to select only one of the possible targets for any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ArtifactReference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most reasonable choice is to select the most recent release of the target library, as this is what any package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manager does in the absence of version conlicts. Our analyses leverage the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CURRENT_TAR’ET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 relation annotated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the Reference Resolver to do so. This mode of operation yields an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underapproximation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txsyb" w:hAnsi="txsyb" w:eastAsia="txsyb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of reality.</w:t>
      </w:r>
    </w:p>
    <w:p>
      <w:pPr>
        <w:autoSpaceDN w:val="0"/>
        <w:autoSpaceDE w:val="0"/>
        <w:widowControl/>
        <w:spacing w:line="230" w:lineRule="exact" w:before="42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All of our analyses that consider transitive dependencies can be executed in both the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&lt;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mode.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since package managers always select one target per dependency, and only deviate from the most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recent release in the rare case of version conlicts, we consider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M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&lt;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to yield data that is intuitively closer to reality.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Therefore, all results presented in the following Section 5.3 have been obtained using this mode of operation.</w:t>
      </w:r>
    </w:p>
    <w:p>
      <w:pPr>
        <w:autoSpaceDN w:val="0"/>
        <w:tabs>
          <w:tab w:pos="644" w:val="left"/>
        </w:tabs>
        <w:autoSpaceDE w:val="0"/>
        <w:widowControl/>
        <w:spacing w:line="224" w:lineRule="exact" w:before="26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Results</w:t>
      </w:r>
    </w:p>
    <w:p>
      <w:pPr>
        <w:autoSpaceDN w:val="0"/>
        <w:autoSpaceDE w:val="0"/>
        <w:widowControl/>
        <w:spacing w:line="238" w:lineRule="exact" w:before="5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present our analysis results for the aforementioned research questions. For each of them,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briely present the metrics involved and illustrate the results per repository using diferent types of diagrams.</w:t>
      </w:r>
    </w:p>
    <w:p>
      <w:pPr>
        <w:autoSpaceDN w:val="0"/>
        <w:autoSpaceDE w:val="0"/>
        <w:widowControl/>
        <w:spacing w:line="200" w:lineRule="exact" w:before="372" w:after="0"/>
        <w:ind w:left="172" w:right="7776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plotly.com/python/ </w:t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plotly.com/dash/</w:t>
      </w:r>
    </w:p>
    <w:p>
      <w:pPr>
        <w:autoSpaceDN w:val="0"/>
        <w:autoSpaceDE w:val="0"/>
        <w:widowControl/>
        <w:spacing w:line="166" w:lineRule="exact" w:before="33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349"/>
        <w:gridCol w:w="1349"/>
        <w:gridCol w:w="1349"/>
        <w:gridCol w:w="1349"/>
        <w:gridCol w:w="1349"/>
        <w:gridCol w:w="1349"/>
        <w:gridCol w:w="1349"/>
      </w:tblGrid>
      <w:tr>
        <w:trPr>
          <w:trHeight w:hRule="exact" w:val="314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1:12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4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  <w:tc>
          <w:tcPr>
            <w:tcW w:type="dxa" w:w="3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13.9999999999998" w:type="dxa"/>
            </w:tblPr>
            <w:tblGrid>
              <w:gridCol w:w="3900"/>
            </w:tblGrid>
            <w:tr>
              <w:trPr>
                <w:trHeight w:hRule="exact" w:val="306"/>
              </w:trPr>
              <w:tc>
                <w:tcPr>
                  <w:tcW w:type="dxa" w:w="2986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6.375999927520752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7.999999999999545" w:type="dxa"/>
                  </w:tblPr>
                  <w:tblGrid>
                    <w:gridCol w:w="373"/>
                    <w:gridCol w:w="373"/>
                    <w:gridCol w:w="373"/>
                    <w:gridCol w:w="373"/>
                    <w:gridCol w:w="373"/>
                    <w:gridCol w:w="373"/>
                    <w:gridCol w:w="373"/>
                    <w:gridCol w:w="373"/>
                  </w:tblGrid>
                  <w:tr>
                    <w:trPr>
                      <w:trHeight w:hRule="exact" w:val="252"/>
                    </w:trPr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7.999999999999545" w:type="dxa"/>
                        </w:tblPr>
                        <w:tblGrid>
                          <w:gridCol w:w="90"/>
                          <w:gridCol w:w="9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8.0" w:val="single" w:color="#3FBF3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60"/>
                              <w:tcBorders>
                                <w:start w:sz="48.0" w:val="single" w:color="#3FBF3F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3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8" w:lineRule="exact" w:before="3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Low</w:t>
                        </w:r>
                      </w:p>
                    </w:tc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7.999999999999545" w:type="dxa"/>
                        </w:tblPr>
                        <w:tblGrid>
                          <w:gridCol w:w="90"/>
                          <w:gridCol w:w="9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8.0" w:val="single" w:color="#00FF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60"/>
                              <w:tcBorders>
                                <w:start w:sz="48.0" w:val="single" w:color="#00FF00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7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6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Medium</w:t>
                        </w:r>
                      </w:p>
                    </w:tc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42.000000000000455" w:type="dxa"/>
                        </w:tblPr>
                        <w:tblGrid>
                          <w:gridCol w:w="90"/>
                          <w:gridCol w:w="9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7.19999999999982" w:val="single" w:color="#FFF1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58"/>
                              <w:tcBorders>
                                <w:start w:sz="47.19999999999982" w:val="single" w:color="#FFF100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6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High</w:t>
                        </w:r>
                      </w:p>
                    </w:tc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3.99999999999977" w:type="dxa"/>
                        </w:tblPr>
                        <w:tblGrid>
                          <w:gridCol w:w="90"/>
                          <w:gridCol w:w="9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8.0" w:val="single" w:color="#BF3F3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60"/>
                              <w:tcBorders>
                                <w:start w:sz="48.0" w:val="single" w:color="#BF3F3F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6" w:lineRule="exact" w:before="3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Critical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80"/>
        </w:trPr>
        <w:tc>
          <w:tcPr>
            <w:tcW w:type="dxa" w:w="1349"/>
            <w:vMerge/>
            <w:tcBorders/>
          </w:tcPr>
          <w:p/>
        </w:tc>
        <w:tc>
          <w:tcPr>
            <w:tcW w:type="dxa" w:w="1349"/>
            <w:vMerge/>
            <w:tcBorders/>
          </w:tcPr>
          <w:p/>
        </w:tc>
        <w:tc>
          <w:tcPr>
            <w:tcW w:type="dxa" w:w="43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28.0000000000001" w:type="dxa"/>
            </w:tblPr>
            <w:tblGrid>
              <w:gridCol w:w="4380"/>
            </w:tblGrid>
            <w:tr>
              <w:trPr>
                <w:trHeight w:hRule="exact" w:val="554"/>
              </w:trPr>
              <w:tc>
                <w:tcPr>
                  <w:tcW w:type="dxa" w:w="3048"/>
                  <w:tcBorders>
                    <w:top w:sz="6.375999927520752" w:val="single" w:color="#000000"/>
                    <w:end w:sz="6.375999927520752" w:val="single" w:color="#000000"/>
                    <w:bottom w:sz="6.375999927520752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1.999999999999886" w:type="dxa"/>
                  </w:tblPr>
                  <w:tblGrid>
                    <w:gridCol w:w="1016"/>
                    <w:gridCol w:w="1016"/>
                    <w:gridCol w:w="1016"/>
                  </w:tblGrid>
                  <w:tr>
                    <w:trPr>
                      <w:trHeight w:hRule="exact" w:val="242"/>
                    </w:trPr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51.999999999999886" w:type="dxa"/>
                        </w:tblPr>
                        <w:tblGrid>
                          <w:gridCol w:w="12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44"/>
                              <w:tcBorders>
                                <w:start w:sz="6.375999927520752" w:val="single" w:color="#0000F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6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51.999999999999886" w:type="dxa"/>
                        </w:tblPr>
                        <w:tblGrid>
                          <w:gridCol w:w="120"/>
                        </w:tblGrid>
                        <w:tr>
                          <w:trPr>
                            <w:trHeight w:hRule="exact" w:val="100"/>
                          </w:trPr>
                          <w:tc>
                            <w:tcPr>
                              <w:tcW w:type="dxa" w:w="44"/>
                              <w:tcBorders>
                                <w:start w:sz="6.375999927520752" w:val="single" w:color="#0000F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27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6" w:lineRule="exact" w:before="36" w:after="0"/>
                          <w:ind w:left="36" w:right="0" w:firstLine="0"/>
                          <w:jc w:val="left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Unpatched Vulnerabilities [%]</w:t>
                        </w:r>
                      </w:p>
                    </w:tc>
                  </w:tr>
                  <w:tr>
                    <w:trPr>
                      <w:trHeight w:hRule="exact" w:val="258"/>
                    </w:trPr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8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51.999999999999886" w:type="dxa"/>
                        </w:tblPr>
                        <w:tblGrid>
                          <w:gridCol w:w="120"/>
                        </w:tblGrid>
                        <w:tr>
                          <w:trPr>
                            <w:trHeight w:hRule="exact" w:val="138"/>
                          </w:trPr>
                          <w:tc>
                            <w:tcPr>
                              <w:tcW w:type="dxa" w:w="44"/>
                              <w:tcBorders>
                                <w:start w:sz="6.375999927520752" w:val="single" w:color="#FF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68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66.00000000000023" w:type="dxa"/>
                        </w:tblPr>
                        <w:tblGrid>
                          <w:gridCol w:w="120"/>
                        </w:tblGrid>
                        <w:tr>
                          <w:trPr>
                            <w:trHeight w:hRule="exact" w:val="98"/>
                          </w:trPr>
                          <w:tc>
                            <w:tcPr>
                              <w:tcW w:type="dxa" w:w="46"/>
                              <w:tcBorders>
                                <w:end w:sz="6.375999927520752" w:val="single" w:color="#FF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27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8" w:lineRule="exact" w:before="4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>Wildcard Version References [%]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49"/>
            <w:vMerge/>
            <w:tcBorders/>
          </w:tcPr>
          <w:p/>
        </w:tc>
      </w:tr>
      <w:tr>
        <w:trPr>
          <w:trHeight w:hRule="exact" w:val="1220"/>
        </w:trPr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32" w:after="0"/>
              <w:ind w:left="0" w:right="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</w:tc>
        <w:tc>
          <w:tcPr>
            <w:tcW w:type="dxa" w:w="43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.000000000000114" w:type="dxa"/>
            </w:tblPr>
            <w:tblGrid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</w:tblGrid>
            <w:tr>
              <w:trPr>
                <w:trHeight w:hRule="exact" w:val="272"/>
              </w:trPr>
              <w:tc>
                <w:tcPr>
                  <w:tcW w:type="dxa" w:w="290"/>
                  <w:tcBorders>
                    <w:start w:sz="6.3760800361633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40" w:after="0"/>
                    <w:ind w:left="0" w:right="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4</w:t>
                  </w:r>
                </w:p>
              </w:tc>
              <w:tc>
                <w:tcPr>
                  <w:tcW w:type="dxa" w:w="238"/>
                  <w:tcBorders>
                    <w:bottom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9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FF"/>
                      <w:sz w:val="20"/>
                    </w:rPr>
                    <w:t>.</w:t>
                  </w:r>
                </w:p>
              </w:tc>
              <w:tc>
                <w:tcPr>
                  <w:tcW w:type="dxa" w:w="50"/>
                  <w:tcBorders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4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5</w:t>
                  </w:r>
                </w:p>
              </w:tc>
              <w:tc>
                <w:tcPr>
                  <w:tcW w:type="dxa" w:w="964"/>
                  <w:gridSpan w:val="5"/>
                  <w:vMerge w:val="restart"/>
                  <w:tcBorders>
                    <w:start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964"/>
                  <w:gridSpan w:val="5"/>
                  <w:vMerge w:val="restart"/>
                  <w:tcBorders>
                    <w:start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78"/>
                  <w:gridSpan w:val="3"/>
                  <w:vMerge w:val="restart"/>
                  <w:tcBorders>
                    <w:start w:sz="3.187999963760376" w:val="single" w:color="#CACACA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36"/>
              </w:trPr>
              <w:tc>
                <w:tcPr>
                  <w:tcW w:type="dxa" w:w="290"/>
                  <w:tcBorders>
                    <w:start w:sz="6.3760800361633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104" w:after="0"/>
                    <w:ind w:left="0" w:right="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4</w:t>
                  </w:r>
                </w:p>
              </w:tc>
              <w:tc>
                <w:tcPr>
                  <w:tcW w:type="dxa" w:w="238"/>
                  <w:tcBorders>
                    <w:bottom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7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2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FF"/>
                      <w:sz w:val="20"/>
                    </w:rPr>
                    <w:t>.</w:t>
                  </w:r>
                </w:p>
              </w:tc>
              <w:tc>
                <w:tcPr>
                  <w:tcW w:type="dxa" w:w="50"/>
                  <w:tcBorders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104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7</w:t>
                  </w:r>
                </w:p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start w:sz="6.375999927520752" w:val="single" w:color="#0000FF"/>
                    <w:top w:sz="6.375999927520752" w:val="single" w:color="#0000FF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627"/>
                  <w:gridSpan w:val="3"/>
                  <w:vMerge/>
                  <w:tcBorders>
                    <w:start w:sz="3.187999963760376" w:val="single" w:color="#CACACA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34"/>
              </w:trPr>
              <w:tc>
                <w:tcPr>
                  <w:tcW w:type="dxa" w:w="290"/>
                  <w:tcBorders>
                    <w:start w:sz="6.37608003616333" w:val="single" w:color="#000000"/>
                    <w:end w:sz="6.375999927520752" w:val="single" w:color="#0000FF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start w:sz="6.375999927520752" w:val="single" w:color="#0000FF"/>
                    <w:top w:sz="6.375999927520752" w:val="single" w:color="#0000FF"/>
                    <w:end w:sz="6.375999927520752" w:val="single" w:color="#0000FF"/>
                    <w:bottom w:sz="3.187999963760376" w:val="single" w:color="#CACACA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end w:sz="6.375999927520752" w:val="single" w:color="#0000FF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start w:sz="6.375999927520752" w:val="single" w:color="#0000FF"/>
                    <w:end w:sz="6.375999927520752" w:val="single" w:color="#0000FF"/>
                    <w:bottom w:sz="3.187999963760376" w:val="single" w:color="#CACACA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end w:sz="3.187999963760376" w:val="single" w:color="#CACACA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627"/>
                  <w:gridSpan w:val="3"/>
                  <w:vMerge/>
                  <w:tcBorders>
                    <w:start w:sz="3.187999963760376" w:val="single" w:color="#CACACA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224"/>
              </w:trPr>
              <w:tc>
                <w:tcPr>
                  <w:tcW w:type="dxa" w:w="290"/>
                  <w:vMerge w:val="restart"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vMerge w:val="restart"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  <w:shd w:fill="b2b2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top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top w:sz="3.187999963760376" w:val="single" w:color="#CACACA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vMerge w:val="restart"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  <w:shd w:fill="b2b2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top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top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top w:sz="3.187999963760376" w:val="single" w:color="#CACACA"/>
                    <w:bottom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5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FF"/>
                      <w:sz w:val="20"/>
                    </w:rPr>
                    <w:t>.</w:t>
                  </w:r>
                </w:p>
              </w:tc>
              <w:tc>
                <w:tcPr>
                  <w:tcW w:type="dxa" w:w="50"/>
                  <w:tcBorders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5</w:t>
                  </w:r>
                </w:p>
              </w:tc>
              <w:tc>
                <w:tcPr>
                  <w:tcW w:type="dxa" w:w="964"/>
                  <w:gridSpan w:val="5"/>
                  <w:vMerge w:val="restart"/>
                  <w:tcBorders>
                    <w:start w:sz="3.187999963760376" w:val="single" w:color="#CACACA"/>
                    <w:top w:sz="3.187999963760376" w:val="single" w:color="#CACACA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exact" w:before="754" w:after="0"/>
                    <w:ind w:left="72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20</w:t>
                  </w:r>
                </w:p>
              </w:tc>
              <w:tc>
                <w:tcPr>
                  <w:tcW w:type="dxa" w:w="578"/>
                  <w:gridSpan w:val="3"/>
                  <w:vMerge w:val="restart"/>
                  <w:tcBorders>
                    <w:start w:sz="3.187999963760376" w:val="single" w:color="#CACACA"/>
                    <w:top w:sz="3.187999963760376" w:val="single" w:color="#CACACA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50"/>
              </w:trPr>
              <w:tc>
                <w:tcPr>
                  <w:tcW w:type="dxa" w:w="209"/>
                  <w:vMerge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118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2</w:t>
                  </w:r>
                </w:p>
              </w:tc>
              <w:tc>
                <w:tcPr>
                  <w:tcW w:type="dxa" w:w="240"/>
                  <w:tcBorders>
                    <w:bottom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82" w:after="0"/>
                    <w:ind w:left="44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8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BF3F3F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4</w:t>
                  </w:r>
                </w:p>
              </w:tc>
              <w:tc>
                <w:tcPr>
                  <w:tcW w:type="dxa" w:w="386"/>
                  <w:tcBorders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118" w:after="0"/>
                    <w:ind w:left="0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4</w:t>
                  </w:r>
                </w:p>
              </w:tc>
              <w:tc>
                <w:tcPr>
                  <w:tcW w:type="dxa" w:w="238"/>
                  <w:tcBorders>
                    <w:start w:sz="6.375999927520752" w:val="single" w:color="#0000FF"/>
                    <w:top w:sz="6.375999927520752" w:val="single" w:color="#0000FF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top w:sz="3.187999963760376" w:val="single" w:color="#CACACA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627"/>
                  <w:gridSpan w:val="3"/>
                  <w:vMerge/>
                  <w:tcBorders>
                    <w:start w:sz="3.187999963760376" w:val="single" w:color="#CACACA"/>
                    <w:top w:sz="3.187999963760376" w:val="single" w:color="#CACACA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312"/>
              </w:trPr>
              <w:tc>
                <w:tcPr>
                  <w:tcW w:type="dxa" w:w="209"/>
                  <w:vMerge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2</w:t>
                  </w:r>
                </w:p>
              </w:tc>
              <w:tc>
                <w:tcPr>
                  <w:tcW w:type="dxa" w:w="240"/>
                  <w:tcBorders>
                    <w:bottom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44" w:after="0"/>
                    <w:ind w:left="46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2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BF3F3F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1</w:t>
                  </w:r>
                </w:p>
              </w:tc>
              <w:tc>
                <w:tcPr>
                  <w:tcW w:type="dxa" w:w="386"/>
                  <w:tcBorders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80" w:after="0"/>
                    <w:ind w:left="0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1</w:t>
                  </w:r>
                </w:p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start w:sz="6.375999927520752" w:val="single" w:color="#FF0000"/>
                    <w:top w:sz="6.375999927520752" w:val="single" w:color="#FF0000"/>
                    <w:end w:sz="6.375999927520752" w:val="single" w:color="#FF0000"/>
                  </w:tcBorders>
                  <w:shd w:fill="bf3f3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start w:sz="6.375999927520752" w:val="single" w:color="#FF0000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start w:sz="6.375999927520752" w:val="single" w:color="#0000FF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top w:sz="3.187999963760376" w:val="single" w:color="#CACACA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627"/>
                  <w:gridSpan w:val="3"/>
                  <w:vMerge/>
                  <w:tcBorders>
                    <w:start w:sz="3.187999963760376" w:val="single" w:color="#CACACA"/>
                    <w:top w:sz="3.187999963760376" w:val="single" w:color="#CACACA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04"/>
              </w:trPr>
              <w:tc>
                <w:tcPr>
                  <w:tcW w:type="dxa" w:w="209"/>
                  <w:vMerge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start w:sz="6.375999927520752" w:val="single" w:color="#FF0000"/>
                    <w:top w:sz="6.375999927520752" w:val="single" w:color="#FF0000"/>
                    <w:end w:sz="6.375999927520752" w:val="single" w:color="#FF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start w:sz="6.375999927520752" w:val="single" w:color="#FF0000"/>
                    <w:end w:sz="6.375999927520752" w:val="single" w:color="#0000FF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start w:sz="6.375999927520752" w:val="single" w:color="#FF0000"/>
                    <w:end w:sz="6.375999927520752" w:val="single" w:color="#FF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start w:sz="6.375999927520752" w:val="single" w:color="#FF0000"/>
                    <w:end w:sz="6.375999927520752" w:val="single" w:color="#0000FF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start w:sz="6.375999927520752" w:val="single" w:color="#0000FF"/>
                    <w:end w:sz="6.375999927520752" w:val="single" w:color="#0000FF"/>
                    <w:bottom w:sz="3.187999963760376" w:val="single" w:color="#CACACA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45"/>
                  <w:gridSpan w:val="5"/>
                  <w:vMerge/>
                  <w:tcBorders>
                    <w:start w:sz="3.187999963760376" w:val="single" w:color="#CACACA"/>
                    <w:top w:sz="3.187999963760376" w:val="single" w:color="#CACACA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627"/>
                  <w:gridSpan w:val="3"/>
                  <w:vMerge/>
                  <w:tcBorders>
                    <w:start w:sz="3.187999963760376" w:val="single" w:color="#CACACA"/>
                    <w:top w:sz="3.187999963760376" w:val="single" w:color="#CACACA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48"/>
              </w:trPr>
              <w:tc>
                <w:tcPr>
                  <w:tcW w:type="dxa" w:w="290"/>
                  <w:vMerge w:val="restart"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vMerge w:val="restart"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vMerge w:val="restart"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FF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vMerge w:val="restart"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vMerge w:val="restart"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vMerge w:val="restart"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FF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vMerge w:val="restart"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vMerge w:val="restart"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vMerge w:val="restart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vMerge w:val="restart"/>
                  <w:tcBorders>
                    <w:start w:sz="6.375999927520752" w:val="single" w:color="#FF0000"/>
                    <w:end w:sz="6.375999927520752" w:val="single" w:color="#FF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6"/>
                  <w:tcBorders>
                    <w:start w:sz="6.375999927520752" w:val="single" w:color="#FF0000"/>
                    <w:top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top w:sz="3.187999963760376" w:val="single" w:color="#CACACA"/>
                    <w:bottom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FF"/>
                      <w:sz w:val="20"/>
                    </w:rPr>
                    <w:t>17</w:t>
                  </w:r>
                </w:p>
              </w:tc>
              <w:tc>
                <w:tcPr>
                  <w:tcW w:type="dxa" w:w="50"/>
                  <w:tcBorders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top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0"/>
                  <w:tcBorders>
                    <w:top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14"/>
              </w:trPr>
              <w:tc>
                <w:tcPr>
                  <w:tcW w:type="dxa" w:w="209"/>
                  <w:vMerge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386"/>
                  <w:tcBorders>
                    <w:start w:sz="6.375999927520752" w:val="single" w:color="#FF0000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start w:sz="6.375999927520752" w:val="single" w:color="#0000FF"/>
                    <w:top w:sz="6.375999927520752" w:val="single" w:color="#0000FF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bottom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346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4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BF3F3F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BF3F3F"/>
                      <w:sz w:val="20"/>
                    </w:rPr>
                    <w:t>6</w:t>
                  </w:r>
                </w:p>
              </w:tc>
              <w:tc>
                <w:tcPr>
                  <w:tcW w:type="dxa" w:w="29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08"/>
              </w:trPr>
              <w:tc>
                <w:tcPr>
                  <w:tcW w:type="dxa" w:w="209"/>
                  <w:vMerge/>
                  <w:tcBorders>
                    <w:start w:sz="6.37608003616333" w:val="single" w:color="#000000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top w:sz="3.187999963760376" w:val="single" w:color="#CACACA"/>
                    <w:end w:sz="6.375999927520752" w:val="single" w:color="#0000FF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0000FF"/>
                    <w:end w:sz="3.187999963760376" w:val="single" w:color="#CACACA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3.187999963760376" w:val="single" w:color="#CACACA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209"/>
                  <w:vMerge/>
                  <w:tcBorders>
                    <w:start w:sz="6.375999927520752" w:val="single" w:color="#FF0000"/>
                    <w:end w:sz="6.375999927520752" w:val="single" w:color="#FF0000"/>
                  </w:tcBorders>
                </w:tcPr>
                <w:p/>
              </w:tc>
              <w:tc>
                <w:tcPr>
                  <w:tcW w:type="dxa" w:w="386"/>
                  <w:tcBorders>
                    <w:start w:sz="6.375999927520752" w:val="single" w:color="#FF0000"/>
                    <w:end w:sz="6.375999927520752" w:val="single" w:color="#0000F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tcBorders>
                    <w:start w:sz="6.375999927520752" w:val="single" w:color="#0000FF"/>
                    <w:end w:sz="6.375999927520752" w:val="single" w:color="#0000FF"/>
                  </w:tcBorders>
                  <w:shd w:fill="b2b2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6.375999927520752" w:val="single" w:color="#0000FF"/>
                    <w:end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0"/>
                  <w:tcBorders>
                    <w:start w:sz="3.187999963760376" w:val="single" w:color="#CACACA"/>
                    <w:end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tcBorders>
                    <w:start w:sz="6.375999927520752" w:val="single" w:color="#FF0000"/>
                    <w:top w:sz="6.375999927520752" w:val="single" w:color="#FF0000"/>
                    <w:end w:sz="6.375999927520752" w:val="single" w:color="#FF0000"/>
                  </w:tcBorders>
                  <w:shd w:fill="bf3f3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0"/>
                  <w:tcBorders>
                    <w:start w:sz="6.375999927520752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" w:after="0"/>
              <w:ind w:left="3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100%</w:t>
            </w:r>
          </w:p>
          <w:p>
            <w:pPr>
              <w:autoSpaceDN w:val="0"/>
              <w:autoSpaceDE w:val="0"/>
              <w:widowControl/>
              <w:spacing w:line="208" w:lineRule="exact" w:before="1296" w:after="0"/>
              <w:ind w:left="4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  <w:p>
            <w:pPr>
              <w:autoSpaceDN w:val="0"/>
              <w:autoSpaceDE w:val="0"/>
              <w:widowControl/>
              <w:spacing w:line="206" w:lineRule="exact" w:before="294" w:after="0"/>
              <w:ind w:left="4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82.0000000000005" w:type="dxa"/>
            </w:tblPr>
            <w:tblGrid>
              <w:gridCol w:w="390"/>
              <w:gridCol w:w="390"/>
              <w:gridCol w:w="390"/>
              <w:gridCol w:w="390"/>
              <w:gridCol w:w="390"/>
              <w:gridCol w:w="390"/>
              <w:gridCol w:w="390"/>
              <w:gridCol w:w="390"/>
              <w:gridCol w:w="390"/>
              <w:gridCol w:w="390"/>
            </w:tblGrid>
            <w:tr>
              <w:trPr>
                <w:trHeight w:hRule="exact" w:val="56"/>
              </w:trPr>
              <w:tc>
                <w:tcPr>
                  <w:tcW w:type="dxa" w:w="86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0"/>
                  <w:vMerge w:val="restart"/>
                  <w:tcBorders>
                    <w:start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"/>
                  <w:vMerge w:val="restart"/>
                  <w:tcBorders>
                    <w:end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0"/>
                  <w:vMerge w:val="restart"/>
                  <w:tcBorders>
                    <w:start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0"/>
                  <w:vMerge w:val="restart"/>
                  <w:tcBorders>
                    <w:end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0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0"/>
                  <w:tcBorders>
                    <w:bottom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0"/>
                  <w:tcBorders>
                    <w:bottom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0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end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end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40"/>
                  <w:gridSpan w:val="2"/>
                  <w:vMerge w:val="restart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  <w:tr>
              <w:trPr>
                <w:trHeight w:hRule="exact" w:val="100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238"/>
                  <w:gridSpan w:val="2"/>
                  <w:vMerge w:val="restart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end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  <w:tr>
              <w:trPr>
                <w:trHeight w:hRule="exact" w:val="276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  <w:tr>
              <w:trPr>
                <w:trHeight w:hRule="exact" w:val="350"/>
              </w:trPr>
              <w:tc>
                <w:tcPr>
                  <w:tcW w:type="dxa" w:w="86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0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52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238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  <w:tr>
              <w:trPr>
                <w:trHeight w:hRule="exact" w:val="500"/>
              </w:trPr>
              <w:tc>
                <w:tcPr>
                  <w:tcW w:type="dxa" w:w="86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0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00"/>
              </w:trPr>
              <w:tc>
                <w:tcPr>
                  <w:tcW w:type="dxa" w:w="86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fff1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0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02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4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  <w:tr>
              <w:trPr>
                <w:trHeight w:hRule="exact" w:val="274"/>
              </w:trPr>
              <w:tc>
                <w:tcPr>
                  <w:tcW w:type="dxa" w:w="86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8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80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00ff00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4"/>
                  <w:vMerge w:val="restart"/>
                  <w:tcBorders>
                    <w:start w:sz="6.375999927520752" w:val="single" w:color="#000000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69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238"/>
                  <w:gridSpan w:val="2"/>
                  <w:vMerge w:val="restart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</w:tcBorders>
                  <w:shd w:fill="3fb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  <w:tr>
              <w:trPr>
                <w:trHeight w:hRule="exact" w:val="48"/>
              </w:trPr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12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78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390"/>
                  <w:vMerge/>
                  <w:tcBorders>
                    <w:start w:sz="6.375999927520752" w:val="single" w:color="#000000"/>
                    <w:end w:sz="6.375999927520752" w:val="single" w:color="#000000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08" w:lineRule="exact" w:before="0" w:after="0"/>
              <w:ind w:left="4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80%</w:t>
            </w:r>
          </w:p>
          <w:p>
            <w:pPr>
              <w:autoSpaceDN w:val="0"/>
              <w:autoSpaceDE w:val="0"/>
              <w:widowControl/>
              <w:spacing w:line="206" w:lineRule="exact" w:before="294" w:after="0"/>
              <w:ind w:left="4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60%</w:t>
            </w:r>
          </w:p>
          <w:p>
            <w:pPr>
              <w:autoSpaceDN w:val="0"/>
              <w:autoSpaceDE w:val="0"/>
              <w:widowControl/>
              <w:spacing w:line="208" w:lineRule="exact" w:before="1296" w:after="0"/>
              <w:ind w:left="4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  <w:p>
            <w:pPr>
              <w:autoSpaceDN w:val="0"/>
              <w:tabs>
                <w:tab w:pos="1800" w:val="left"/>
                <w:tab w:pos="2762" w:val="left"/>
              </w:tabs>
              <w:autoSpaceDE w:val="0"/>
              <w:widowControl/>
              <w:spacing w:line="208" w:lineRule="exact" w:before="0" w:after="0"/>
              <w:ind w:left="71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Maven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NPM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</w:t>
            </w:r>
          </w:p>
        </w:tc>
      </w:tr>
      <w:tr>
        <w:trPr>
          <w:trHeight w:hRule="exact" w:val="1000"/>
        </w:trPr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02" w:after="0"/>
              <w:ind w:left="0" w:right="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</w:tc>
        <w:tc>
          <w:tcPr>
            <w:tcW w:type="dxa" w:w="5396"/>
            <w:gridSpan w:val="4"/>
            <w:vMerge/>
            <w:tcBorders/>
          </w:tcPr>
          <w:p/>
        </w:tc>
        <w:tc>
          <w:tcPr>
            <w:tcW w:type="dxa" w:w="1349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92" w:after="0"/>
              <w:ind w:left="0" w:right="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</w:tc>
        <w:tc>
          <w:tcPr>
            <w:tcW w:type="dxa" w:w="5396"/>
            <w:gridSpan w:val="4"/>
            <w:vMerge/>
            <w:tcBorders/>
          </w:tcPr>
          <w:p/>
        </w:tc>
        <w:tc>
          <w:tcPr>
            <w:tcW w:type="dxa" w:w="1349"/>
            <w:vMerge/>
            <w:tcBorders/>
          </w:tcPr>
          <w:p/>
        </w:tc>
      </w:tr>
      <w:tr>
        <w:trPr>
          <w:trHeight w:hRule="exact" w:val="266"/>
        </w:trPr>
        <w:tc>
          <w:tcPr>
            <w:tcW w:type="dxa" w:w="2698"/>
            <w:gridSpan w:val="2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0" w:right="23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0" w:right="1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 WSH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13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</w:t>
            </w:r>
          </w:p>
        </w:tc>
        <w:tc>
          <w:tcPr>
            <w:tcW w:type="dxa" w:w="134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72"/>
        <w:ind w:left="0" w:right="0"/>
      </w:pPr>
    </w:p>
    <w:p>
      <w:pPr>
        <w:sectPr>
          <w:pgSz w:w="12240" w:h="15840"/>
          <w:pgMar w:top="814" w:right="1440" w:bottom="1136" w:left="1360" w:header="720" w:footer="720" w:gutter="0"/>
          <w:cols w:space="720" w:num="1" w:equalWidth="0"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314" w:right="288" w:firstLine="6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Fig. 5. Percentage of unpatched vulnerabilities and wildcard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version range specifiers per repository</w:t>
      </w:r>
    </w:p>
    <w:p>
      <w:pPr>
        <w:sectPr>
          <w:type w:val="continuous"/>
          <w:pgSz w:w="12240" w:h="15840"/>
          <w:pgMar w:top="814" w:right="1440" w:bottom="1136" w:left="1360" w:header="720" w:footer="720" w:gutter="0"/>
          <w:cols w:space="720" w:num="2" w:equalWidth="0"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802"/>
        <w:ind w:left="322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6. Severity of unpatched vulnerabilities</w:t>
      </w:r>
    </w:p>
    <w:p>
      <w:pPr>
        <w:sectPr>
          <w:type w:val="nextColumn"/>
          <w:pgSz w:w="12240" w:h="15840"/>
          <w:pgMar w:top="814" w:right="1440" w:bottom="1136" w:left="1360" w:header="720" w:footer="720" w:gutter="0"/>
          <w:cols w:space="720" w:num="2" w:equalWidth="0"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126"/>
        <w:ind w:left="248" w:right="174" w:firstLine="6"/>
        <w:jc w:val="both"/>
      </w:pPr>
      <w:r>
        <w:rPr>
          <w:rFonts w:ascii="LinBiolinumTBO" w:hAnsi="LinBiolinumTBO" w:eastAsia="LinBiolinumTBO"/>
          <w:b/>
          <w:i w:val="0"/>
          <w:color w:val="000000"/>
          <w:sz w:val="20"/>
        </w:rPr>
        <w:t>RQ1: How long does it take developers to release patches?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this irst RQ, we analyze the time from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vulnerability’s publication or disclosure to the release of an appropriate patch by the developers of the target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library. A previous study on the NPM Registry from 2018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suggests that patches are often published before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date of publication, and even before the date of disclosure. We, therefore, expect that most patching durations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are negative.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0"/>
        <w:gridCol w:w="4720"/>
      </w:tblGrid>
      <w:tr>
        <w:trPr>
          <w:trHeight w:hRule="exact" w:val="198"/>
        </w:trPr>
        <w:tc>
          <w:tcPr>
            <w:tcW w:type="dxa" w:w="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0" w:after="0"/>
              <w:ind w:left="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901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20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>MATCH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(v:Vulnerability) -[: PATCHED_BY]-&gt;(artifact)</w:t>
            </w:r>
          </w:p>
        </w:tc>
      </w:tr>
      <w:tr>
        <w:trPr>
          <w:trHeight w:hRule="exact" w:val="220"/>
        </w:trPr>
        <w:tc>
          <w:tcPr>
            <w:tcW w:type="dxa" w:w="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" w:after="0"/>
              <w:ind w:left="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901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20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>WITH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v.SnykId</w:t>
            </w: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 xml:space="preserve"> AS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id, v.DisclosedAt</w:t>
            </w: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 xml:space="preserve"> AS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disclosure , v.PublishedAt</w:t>
            </w: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 xml:space="preserve"> AS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publication , artifact.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720"/>
        <w:gridCol w:w="4720"/>
      </w:tblGrid>
      <w:tr>
        <w:trPr>
          <w:trHeight w:hRule="exact" w:val="198"/>
        </w:trPr>
        <w:tc>
          <w:tcPr>
            <w:tcW w:type="dxa" w:w="25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901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" w:after="0"/>
              <w:ind w:left="60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>UniqueId</w:t>
            </w: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 xml:space="preserve"> AS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artifact , artifact.releaseDate</w:t>
            </w: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 xml:space="preserve"> AS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release</w:t>
            </w:r>
          </w:p>
        </w:tc>
      </w:tr>
      <w:tr>
        <w:trPr>
          <w:trHeight w:hRule="exact" w:val="220"/>
        </w:trPr>
        <w:tc>
          <w:tcPr>
            <w:tcW w:type="dxa" w:w="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2" w:after="0"/>
              <w:ind w:left="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3</w:t>
            </w:r>
          </w:p>
        </w:tc>
        <w:tc>
          <w:tcPr>
            <w:tcW w:type="dxa" w:w="901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20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FF"/>
                <w:sz w:val="16"/>
              </w:rPr>
              <w:t>RETURN</w:t>
            </w:r>
            <w:r>
              <w:rPr>
                <w:rFonts w:ascii="Inconsolata" w:hAnsi="Inconsolata" w:eastAsia="Inconsolata"/>
                <w:b w:val="0"/>
                <w:i w:val="0"/>
                <w:color w:val="000000"/>
                <w:sz w:val="16"/>
              </w:rPr>
              <w:t xml:space="preserve"> id, disclosure , publication , artifact , release;</w:t>
            </w:r>
          </w:p>
        </w:tc>
      </w:tr>
    </w:tbl>
    <w:p>
      <w:pPr>
        <w:autoSpaceDN w:val="0"/>
        <w:autoSpaceDE w:val="0"/>
        <w:widowControl/>
        <w:spacing w:line="184" w:lineRule="exact" w:before="90" w:after="0"/>
        <w:ind w:left="0" w:right="2690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Listing 1. Cypher query to extract patching durations</w:t>
      </w:r>
    </w:p>
    <w:p>
      <w:pPr>
        <w:autoSpaceDN w:val="0"/>
        <w:autoSpaceDE w:val="0"/>
        <w:widowControl/>
        <w:spacing w:line="240" w:lineRule="exact" w:before="144" w:after="0"/>
        <w:ind w:left="25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each vulnerability and patching artifact, our analysis extracts the duration from vulnerability publication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patch release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and from vulnerability disclosure to patch release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 in seconds. This is done by issuing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Cypher query illustrated in Listing 1, and calculating the diferences between the datetime values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release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and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dis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/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pub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for each patching artifact. As this process is limited to vulnerabilities that have patches associated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them, a separate database query irst retrieves the number of unpatched vulnerabilities for each repository.</w:t>
      </w:r>
    </w:p>
    <w:p>
      <w:pPr>
        <w:autoSpaceDN w:val="0"/>
        <w:autoSpaceDE w:val="0"/>
        <w:widowControl/>
        <w:spacing w:line="238" w:lineRule="exact" w:before="2" w:after="0"/>
        <w:ind w:left="246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bar chart in Figure 5 illustrates the number of unpatched vulnerabilities per repository. In addition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that, the percentage of vulnerabilities with wildcard version range speciiers is shown. These vulnerabilities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deinition cannot be patched by any artifact, as they reference the entirety of their target library, for example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a version range qualiier of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"*"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or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"[0,]"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25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on average 35.8% of all vulnerabilities are not patched, NPM has by far the highest amount with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percentage of almost 50%. Upon further investigation, we found that this is partially due to so-called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Security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Holders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which we found to be referenced by 14% of all NPM vulnerabilities. Security Holders are symbolic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artifacts that act as a placeholder for library identiiers that have previously been in use and are not usable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anymore for security reasons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Figure 5 shows the values for NPM when excluding security holders as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NPM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WSH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(without security holders).</w:t>
      </w:r>
    </w:p>
    <w:p>
      <w:pPr>
        <w:autoSpaceDN w:val="0"/>
        <w:autoSpaceDE w:val="0"/>
        <w:widowControl/>
        <w:spacing w:line="166" w:lineRule="exact" w:before="308" w:after="0"/>
        <w:ind w:left="25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type w:val="continuous"/>
          <w:pgSz w:w="12240" w:h="15840"/>
          <w:pgMar w:top="814" w:right="1440" w:bottom="1136" w:left="1360" w:header="720" w:footer="720" w:gutter="0"/>
          <w:cols w:space="720" w:num="1" w:equalWidth="0"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06"/>
        </w:trPr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06" w:type="dxa"/>
            </w:tblPr>
            <w:tblGrid>
              <w:gridCol w:w="1065"/>
              <w:gridCol w:w="1065"/>
              <w:gridCol w:w="1065"/>
              <w:gridCol w:w="1065"/>
            </w:tblGrid>
            <w:tr>
              <w:trPr>
                <w:trHeight w:hRule="exact" w:val="228"/>
              </w:trPr>
              <w:tc>
                <w:tcPr>
                  <w:tcW w:type="dxa" w:w="116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2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Maven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8" w:after="0"/>
                    <w:ind w:left="0" w:right="96" w:firstLine="0"/>
                    <w:jc w:val="right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NPM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Nuget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72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100%</w:t>
            </w:r>
          </w:p>
        </w:tc>
        <w:tc>
          <w:tcPr>
            <w:tcW w:type="dxa" w:w="31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1:13</w:t>
            </w:r>
          </w:p>
        </w:tc>
      </w:tr>
      <w:tr>
        <w:trPr>
          <w:trHeight w:hRule="exact" w:val="520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33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63.9999999999998" w:type="dxa"/>
            </w:tblPr>
            <w:tblGrid>
              <w:gridCol w:w="3380"/>
            </w:tblGrid>
            <w:tr>
              <w:trPr>
                <w:trHeight w:hRule="exact" w:val="308"/>
              </w:trPr>
              <w:tc>
                <w:tcPr>
                  <w:tcW w:type="dxa" w:w="2826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6.375999927520752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7.999999999999545" w:type="dxa"/>
                  </w:tblPr>
                  <w:tblGrid>
                    <w:gridCol w:w="471"/>
                    <w:gridCol w:w="471"/>
                    <w:gridCol w:w="471"/>
                    <w:gridCol w:w="471"/>
                    <w:gridCol w:w="471"/>
                    <w:gridCol w:w="471"/>
                  </w:tblGrid>
                  <w:tr>
                    <w:trPr>
                      <w:trHeight w:hRule="exact" w:val="276"/>
                    </w:trPr>
                    <w:tc>
                      <w:tcPr>
                        <w:tcW w:type="dxa" w:w="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4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47.999999999999545" w:type="dxa"/>
                        </w:tblPr>
                        <w:tblGrid>
                          <w:gridCol w:w="90"/>
                          <w:gridCol w:w="9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7.20000000000027" w:val="single" w:color="#3F3FB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58"/>
                              <w:tcBorders>
                                <w:start w:sz="47.20000000000027" w:val="single" w:color="#3F3FBF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0" w:lineRule="exact" w:before="1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I" w:hAnsi="LinLibertineI" w:eastAsia="LinLibertineI"/>
                            <w:b w:val="0"/>
                            <w:i w:val="0"/>
                            <w:color w:val="000000"/>
                            <w:sz w:val="20"/>
                          </w:rPr>
                          <w:t>δ</w:t>
                        </w:r>
                        <w:r>
                          <w:rPr>
                            <w:w w:val="96.96933110555013"/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15"/>
                          </w:rPr>
                          <w:t>D</w:t>
                        </w:r>
                        <w:r>
                          <w:rPr>
                            <w:rFonts w:ascii="txsy" w:hAnsi="txsy" w:eastAsia="txsy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≤</w:t>
                        </w: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0</w:t>
                        </w:r>
                      </w:p>
                    </w:tc>
                    <w:tc>
                      <w:tcPr>
                        <w:tcW w:type="dxa" w:w="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4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2.000000000000455" w:type="dxa"/>
                        </w:tblPr>
                        <w:tblGrid>
                          <w:gridCol w:w="80"/>
                          <w:gridCol w:w="8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8.0" w:val="single" w:color="#BF3F3F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60"/>
                              <w:tcBorders>
                                <w:start w:sz="48.0" w:val="single" w:color="#BF3F3F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1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0" w:lineRule="exact" w:before="1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I" w:hAnsi="LinLibertineI" w:eastAsia="LinLibertineI"/>
                            <w:b w:val="0"/>
                            <w:i w:val="0"/>
                            <w:color w:val="000000"/>
                            <w:sz w:val="20"/>
                          </w:rPr>
                          <w:t>δ</w:t>
                        </w:r>
                        <w:r>
                          <w:rPr>
                            <w:w w:val="96.96933110555013"/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15"/>
                          </w:rPr>
                          <w:t>D</w:t>
                        </w:r>
                        <w:r>
                          <w:rPr>
                            <w:rFonts w:ascii="rtxmi" w:hAnsi="rtxmi" w:eastAsia="rtxmi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&gt;</w:t>
                        </w: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0</w:t>
                        </w:r>
                        <w:r>
                          <w:rPr>
                            <w:rFonts w:ascii="rtxmi" w:hAnsi="rtxmi" w:eastAsia="rtxmi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&gt;</w:t>
                        </w:r>
                        <w:r>
                          <w:rPr>
                            <w:rFonts w:ascii="LinLibertineI" w:hAnsi="LinLibertineI" w:eastAsia="LinLibertineI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δ</w:t>
                        </w:r>
                        <w:r>
                          <w:rPr>
                            <w:w w:val="96.96933110555013"/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15"/>
                          </w:rPr>
                          <w:t>P</w:t>
                        </w:r>
                      </w:p>
                    </w:tc>
                    <w:tc>
                      <w:tcPr>
                        <w:tcW w:type="dxa" w:w="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4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32.000000000000455" w:type="dxa"/>
                        </w:tblPr>
                        <w:tblGrid>
                          <w:gridCol w:w="80"/>
                          <w:gridCol w:w="80"/>
                        </w:tblGrid>
                        <w:tr>
                          <w:trPr>
                            <w:trHeight w:hRule="exact" w:val="140"/>
                          </w:trPr>
                          <w:tc>
                            <w:tcPr>
                              <w:tcW w:type="dxa" w:w="60"/>
                              <w:tcBorders>
                                <w:start w:sz="6.375999927520752" w:val="single" w:color="#000000"/>
                                <w:end w:sz="48.0" w:val="single" w:color="#CBC27A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60"/>
                              <w:tcBorders>
                                <w:start w:sz="48.0" w:val="single" w:color="#CBC27A"/>
                                <w:end w:sz="6.37599992752075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0" w:lineRule="exact" w:before="1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LinLibertineI" w:hAnsi="LinLibertineI" w:eastAsia="LinLibertineI"/>
                            <w:b w:val="0"/>
                            <w:i w:val="0"/>
                            <w:color w:val="000000"/>
                            <w:sz w:val="20"/>
                          </w:rPr>
                          <w:t>δ</w:t>
                        </w:r>
                        <w:r>
                          <w:rPr>
                            <w:w w:val="96.96933110555013"/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15"/>
                          </w:rPr>
                          <w:t>P</w:t>
                        </w:r>
                        <w:r>
                          <w:rPr>
                            <w:rFonts w:ascii="txsy" w:hAnsi="txsy" w:eastAsia="txsy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≥</w:t>
                        </w:r>
                        <w:r>
                          <w:rPr>
                            <w:rFonts w:ascii="LinLibertineT" w:hAnsi="LinLibertineT" w:eastAsia="LinLibertineT"/>
                            <w:b w:val="0"/>
                            <w:i w:val="0"/>
                            <w:color w:val="000000"/>
                            <w:sz w:val="20"/>
                          </w:rPr>
                          <w:t xml:space="preserve"> 0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338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3.99999999999977" w:type="dxa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>
              <w:trPr>
                <w:trHeight w:hRule="exact" w:val="252"/>
              </w:trPr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8"/>
                  <w:gridSpan w:val="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end w:sz="6.375999927520752" w:val="single" w:color="#000000"/>
                    <w:bottom w:sz="6.375999927520752" w:val="single" w:color="#000000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36"/>
              </w:trPr>
              <w:tc>
                <w:tcPr>
                  <w:tcW w:type="dxa" w:w="26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58"/>
              </w:trPr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8"/>
                  <w:gridSpan w:val="2"/>
                  <w:tcBorders>
                    <w:top w:sz="3.187999963760376" w:val="single" w:color="#CACACA"/>
                    <w:bottom w:sz="6.375999927520752" w:val="single" w:color="#000000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cbc27a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92"/>
              </w:trPr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58"/>
                  <w:gridSpan w:val="2"/>
                  <w:vMerge w:val="restart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238"/>
              </w:trPr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74"/>
              </w:trPr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8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8"/>
              </w:trPr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40"/>
              </w:trPr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149"/>
              </w:trPr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8"/>
                  <w:gridSpan w:val="2"/>
                  <w:vMerge w:val="restart"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6.375999927520752" w:val="single" w:color="#000000"/>
                  </w:tcBorders>
                  <w:shd w:fill="bf3f3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2"/>
                  <w:vMerge w:val="restart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52"/>
              </w:trPr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6.375999927520752" w:val="single" w:color="#000000"/>
                    <w:end w:sz="6.375999927520752" w:val="single" w:color="#000000"/>
                    <w:bottom w:sz="3.187999963760376" w:val="single" w:color="#CACACA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520"/>
                  <w:gridSpan w:val="2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  <w:tc>
                <w:tcPr>
                  <w:tcW w:type="dxa" w:w="260"/>
                  <w:vMerge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  <w:bottom w:sz="3.187999963760376" w:val="single" w:color="#CACACA"/>
                  </w:tcBorders>
                </w:tcPr>
                <w:p/>
              </w:tc>
            </w:tr>
            <w:tr>
              <w:trPr>
                <w:trHeight w:hRule="exact" w:val="368"/>
              </w:trPr>
              <w:tc>
                <w:tcPr>
                  <w:tcW w:type="dxa" w:w="14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8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48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0"/>
                  <w:gridSpan w:val="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shd w:fill="3f3fb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2"/>
                  <w:tcBorders>
                    <w:start w:sz="6.375999927520752" w:val="single" w:color="#000000"/>
                    <w:top w:sz="3.187999963760376" w:val="single" w:color="#CACACA"/>
                    <w:end w:sz="6.37599992752075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70"/>
            <w:vMerge/>
            <w:tcBorders/>
          </w:tcPr>
          <w:p/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4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80%</w:t>
            </w:r>
          </w:p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06" w:type="dxa"/>
            </w:tblPr>
            <w:tblGrid>
              <w:gridCol w:w="1065"/>
              <w:gridCol w:w="1065"/>
              <w:gridCol w:w="1065"/>
              <w:gridCol w:w="1065"/>
            </w:tblGrid>
            <w:tr>
              <w:trPr>
                <w:trHeight w:hRule="exact" w:val="246"/>
              </w:trPr>
              <w:tc>
                <w:tcPr>
                  <w:tcW w:type="dxa" w:w="117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96" w:right="0" w:firstLine="0"/>
                    <w:jc w:val="left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Mean</w:t>
                  </w:r>
                  <w:r>
                    <w:rPr>
                      <w:rFonts w:ascii="LinLibertineI" w:hAnsi="LinLibertineI" w:eastAsia="LinLibertineI"/>
                      <w:b w:val="0"/>
                      <w:i w:val="0"/>
                      <w:color w:val="000000"/>
                      <w:sz w:val="20"/>
                    </w:rPr>
                    <w:t xml:space="preserve"> δ</w:t>
                  </w:r>
                  <w:r>
                    <w:rPr>
                      <w:w w:val="96.96933110555013"/>
                      <w:rFonts w:ascii="LinLibertineI7" w:hAnsi="LinLibertineI7" w:eastAsia="LinLibertineI7"/>
                      <w:b w:val="0"/>
                      <w:i w:val="0"/>
                      <w:color w:val="000000"/>
                      <w:sz w:val="15"/>
                    </w:rPr>
                    <w:t>D</w:t>
                  </w:r>
                </w:p>
              </w:tc>
              <w:tc>
                <w:tcPr>
                  <w:tcW w:type="dxa" w:w="81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73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7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7</w:t>
                  </w:r>
                </w:p>
              </w:tc>
            </w:tr>
            <w:tr>
              <w:trPr>
                <w:trHeight w:hRule="exact" w:val="248"/>
              </w:trPr>
              <w:tc>
                <w:tcPr>
                  <w:tcW w:type="dxa" w:w="117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Median</w:t>
                  </w:r>
                  <w:r>
                    <w:rPr>
                      <w:rFonts w:ascii="LinLibertineI" w:hAnsi="LinLibertineI" w:eastAsia="LinLibertineI"/>
                      <w:b w:val="0"/>
                      <w:i w:val="0"/>
                      <w:color w:val="000000"/>
                      <w:sz w:val="20"/>
                    </w:rPr>
                    <w:t xml:space="preserve"> δ</w:t>
                  </w:r>
                  <w:r>
                    <w:rPr>
                      <w:w w:val="96.96933110555013"/>
                      <w:rFonts w:ascii="LinLibertineI7" w:hAnsi="LinLibertineI7" w:eastAsia="LinLibertineI7"/>
                      <w:b w:val="0"/>
                      <w:i w:val="0"/>
                      <w:color w:val="000000"/>
                      <w:sz w:val="15"/>
                    </w:rPr>
                    <w:t>D</w:t>
                  </w:r>
                </w:p>
              </w:tc>
              <w:tc>
                <w:tcPr>
                  <w:tcW w:type="dxa" w:w="81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96" w:firstLine="0"/>
                    <w:jc w:val="right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7</w:t>
                  </w:r>
                </w:p>
              </w:tc>
            </w:tr>
            <w:tr>
              <w:trPr>
                <w:trHeight w:hRule="exact" w:val="226"/>
              </w:trPr>
              <w:tc>
                <w:tcPr>
                  <w:tcW w:type="dxa" w:w="117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96" w:right="0" w:firstLine="0"/>
                    <w:jc w:val="left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IQR</w:t>
                  </w:r>
                  <w:r>
                    <w:rPr>
                      <w:rFonts w:ascii="LinLibertineI" w:hAnsi="LinLibertineI" w:eastAsia="LinLibertineI"/>
                      <w:b w:val="0"/>
                      <w:i w:val="0"/>
                      <w:color w:val="000000"/>
                      <w:sz w:val="20"/>
                    </w:rPr>
                    <w:t xml:space="preserve"> δ</w:t>
                  </w:r>
                  <w:r>
                    <w:rPr>
                      <w:w w:val="96.96933110555013"/>
                      <w:rFonts w:ascii="LinLibertineI7" w:hAnsi="LinLibertineI7" w:eastAsia="LinLibertineI7"/>
                      <w:b w:val="0"/>
                      <w:i w:val="0"/>
                      <w:color w:val="000000"/>
                      <w:sz w:val="15"/>
                    </w:rPr>
                    <w:t>D</w:t>
                  </w:r>
                </w:p>
              </w:tc>
              <w:tc>
                <w:tcPr>
                  <w:tcW w:type="dxa" w:w="81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184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0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25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2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60%</w:t>
            </w:r>
          </w:p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170"/>
            <w:vMerge/>
            <w:tcBorders/>
          </w:tcPr>
          <w:p/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8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06" w:type="dxa"/>
            </w:tblPr>
            <w:tblGrid>
              <w:gridCol w:w="1065"/>
              <w:gridCol w:w="1065"/>
              <w:gridCol w:w="1065"/>
              <w:gridCol w:w="1065"/>
            </w:tblGrid>
            <w:tr>
              <w:trPr>
                <w:trHeight w:hRule="exact" w:val="248"/>
              </w:trPr>
              <w:tc>
                <w:tcPr>
                  <w:tcW w:type="dxa" w:w="117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0" w:after="0"/>
                    <w:ind w:left="96" w:right="0" w:firstLine="0"/>
                    <w:jc w:val="left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Mean</w:t>
                  </w:r>
                  <w:r>
                    <w:rPr>
                      <w:rFonts w:ascii="LinLibertineI" w:hAnsi="LinLibertineI" w:eastAsia="LinLibertineI"/>
                      <w:b w:val="0"/>
                      <w:i w:val="0"/>
                      <w:color w:val="000000"/>
                      <w:sz w:val="20"/>
                    </w:rPr>
                    <w:t xml:space="preserve"> δ</w:t>
                  </w:r>
                  <w:r>
                    <w:rPr>
                      <w:w w:val="96.96933110555013"/>
                      <w:rFonts w:ascii="LinLibertineI7" w:hAnsi="LinLibertineI7" w:eastAsia="LinLibertineI7"/>
                      <w:b w:val="0"/>
                      <w:i w:val="0"/>
                      <w:color w:val="000000"/>
                      <w:sz w:val="15"/>
                    </w:rPr>
                    <w:t>P</w:t>
                  </w:r>
                </w:p>
              </w:tc>
              <w:tc>
                <w:tcPr>
                  <w:tcW w:type="dxa" w:w="81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188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159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209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</w:tr>
            <w:tr>
              <w:trPr>
                <w:trHeight w:hRule="exact" w:val="246"/>
              </w:trPr>
              <w:tc>
                <w:tcPr>
                  <w:tcW w:type="dxa" w:w="117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Median</w:t>
                  </w:r>
                  <w:r>
                    <w:rPr>
                      <w:rFonts w:ascii="LinLibertineI" w:hAnsi="LinLibertineI" w:eastAsia="LinLibertineI"/>
                      <w:b w:val="0"/>
                      <w:i w:val="0"/>
                      <w:color w:val="000000"/>
                      <w:sz w:val="20"/>
                    </w:rPr>
                    <w:t xml:space="preserve"> δ</w:t>
                  </w:r>
                  <w:r>
                    <w:rPr>
                      <w:w w:val="96.96933110555013"/>
                      <w:rFonts w:ascii="LinLibertineI7" w:hAnsi="LinLibertineI7" w:eastAsia="LinLibertineI7"/>
                      <w:b w:val="0"/>
                      <w:i w:val="0"/>
                      <w:color w:val="000000"/>
                      <w:sz w:val="15"/>
                    </w:rPr>
                    <w:t>P</w:t>
                  </w:r>
                </w:p>
              </w:tc>
              <w:tc>
                <w:tcPr>
                  <w:tcW w:type="dxa" w:w="81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28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2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7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txsy" w:hAnsi="txsy" w:eastAsia="txsy"/>
                      <w:b w:val="0"/>
                      <w:i w:val="0"/>
                      <w:color w:val="000000"/>
                      <w:sz w:val="20"/>
                    </w:rPr>
                    <w:t>−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30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</w:t>
                  </w:r>
                </w:p>
              </w:tc>
            </w:tr>
            <w:tr>
              <w:trPr>
                <w:trHeight w:hRule="exact" w:val="228"/>
              </w:trPr>
              <w:tc>
                <w:tcPr>
                  <w:tcW w:type="dxa" w:w="117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6" w:lineRule="exact" w:before="0" w:after="0"/>
                    <w:ind w:left="96" w:right="0" w:firstLine="0"/>
                    <w:jc w:val="left"/>
                  </w:pPr>
                  <w:r>
                    <w:rPr>
                      <w:rFonts w:ascii="LinLibertineTB" w:hAnsi="LinLibertineTB" w:eastAsia="LinLibertineTB"/>
                      <w:b/>
                      <w:i w:val="0"/>
                      <w:color w:val="000000"/>
                      <w:sz w:val="20"/>
                    </w:rPr>
                    <w:t>IQR</w:t>
                  </w:r>
                  <w:r>
                    <w:rPr>
                      <w:rFonts w:ascii="LinLibertineI" w:hAnsi="LinLibertineI" w:eastAsia="LinLibertineI"/>
                      <w:b w:val="0"/>
                      <w:i w:val="0"/>
                      <w:color w:val="000000"/>
                      <w:sz w:val="20"/>
                    </w:rPr>
                    <w:t xml:space="preserve"> δ</w:t>
                  </w:r>
                  <w:r>
                    <w:rPr>
                      <w:w w:val="96.96933110555013"/>
                      <w:rFonts w:ascii="LinLibertineI7" w:hAnsi="LinLibertineI7" w:eastAsia="LinLibertineI7"/>
                      <w:b w:val="0"/>
                      <w:i w:val="0"/>
                      <w:color w:val="000000"/>
                      <w:sz w:val="15"/>
                    </w:rPr>
                    <w:t>P</w:t>
                  </w:r>
                </w:p>
              </w:tc>
              <w:tc>
                <w:tcPr>
                  <w:tcW w:type="dxa" w:w="81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311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type="dxa" w:w="7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143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type="dxa" w:w="75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exact" w:before="0" w:after="0"/>
                    <w:ind w:left="0" w:right="9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395</w:t>
                  </w:r>
                  <w:r>
                    <w:rPr>
                      <w:rFonts w:ascii="rtxmi" w:hAnsi="rtxmi" w:eastAsia="rtxmi"/>
                      <w:b w:val="0"/>
                      <w:i w:val="0"/>
                      <w:color w:val="000000"/>
                      <w:sz w:val="20"/>
                    </w:rPr>
                    <w:t>.</w:t>
                  </w: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8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6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170"/>
            <w:vMerge/>
            <w:tcBorders/>
          </w:tcPr>
          <w:p/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4" w:after="0"/>
              <w:ind w:left="0" w:right="2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</w:tc>
        <w:tc>
          <w:tcPr>
            <w:tcW w:type="dxa" w:w="5850"/>
            <w:gridSpan w:val="5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322"/>
        </w:trPr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>Table 1. Key measures for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δ</w:t>
            </w:r>
            <w:r>
              <w:rPr>
                <w:w w:val="96.96933110555013"/>
                <w:rFonts w:ascii="LinBiolinumT" w:hAnsi="LinBiolinumT" w:eastAsia="LinBiolinumT"/>
                <w:b w:val="0"/>
                <w:i w:val="0"/>
                <w:color w:val="000000"/>
                <w:sz w:val="15"/>
              </w:rPr>
              <w:t>P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 xml:space="preserve"> and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δ</w:t>
            </w:r>
            <w:r>
              <w:rPr>
                <w:w w:val="96.96933110555013"/>
                <w:rFonts w:ascii="LinBiolinumT" w:hAnsi="LinBiolinumT" w:eastAsia="LinBiolinumT"/>
                <w:b w:val="0"/>
                <w:i w:val="0"/>
                <w:color w:val="000000"/>
                <w:sz w:val="15"/>
              </w:rPr>
              <w:t>D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 xml:space="preserve"> in days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4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0" w:right="13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Total</w:t>
            </w:r>
          </w:p>
        </w:tc>
        <w:tc>
          <w:tcPr>
            <w:tcW w:type="dxa" w:w="11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0" w:lineRule="exact" w:before="214" w:after="0"/>
        <w:ind w:left="0" w:right="470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7. Distribution of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δ</w:t>
      </w:r>
      <w:r>
        <w:rPr>
          <w:w w:val="96.96933110555013"/>
          <w:rFonts w:ascii="LinBiolinumT" w:hAnsi="LinBiolinumT" w:eastAsia="LinBiolinumT"/>
          <w:b w:val="0"/>
          <w:i w:val="0"/>
          <w:color w:val="000000"/>
          <w:sz w:val="15"/>
        </w:rPr>
        <w:t>P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δ</w:t>
      </w:r>
      <w:r>
        <w:rPr>
          <w:w w:val="96.96933110555013"/>
          <w:rFonts w:ascii="LinBiolinumT" w:hAnsi="LinBiolinumT" w:eastAsia="LinBiolinumT"/>
          <w:b w:val="0"/>
          <w:i w:val="0"/>
          <w:color w:val="000000"/>
          <w:sz w:val="15"/>
        </w:rPr>
        <w:t>D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values per repository</w:t>
      </w:r>
    </w:p>
    <w:p>
      <w:pPr>
        <w:autoSpaceDN w:val="0"/>
        <w:autoSpaceDE w:val="0"/>
        <w:widowControl/>
        <w:spacing w:line="240" w:lineRule="exact" w:before="1096" w:after="0"/>
        <w:ind w:left="166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Figure 6, we illustrate the distribution of severities for those unpatched vulnerabilities. While we initially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expected those vulnerabilities to be of minor severity, our data indicates that in fact more than 50% are either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severity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high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or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critical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across all three repositories. This is mainly inluenced by the NPM repository,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more than 70% of all unpatched vulnerabilities have a high or critical severity. For Nuget and Maven, we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observed a behavior that is more in line with our expectations, as for both of them around 66% of the unpatched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vulnerabilities are either of severity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low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or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medium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8" w:lineRule="exact" w:before="2" w:after="0"/>
        <w:ind w:left="168" w:right="144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the remainder of this section, we only consider vulnerabilities with existing patches for our analysis.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Table 1, we present the mean and median values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as well as the respective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Interquartile Range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(IQR)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days. Regarding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we observe that vulnerabilities in NuGet.org seem to be patched the earliest, followed by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Maven Central and then the NPM Registry.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we observe very similar median values for all three repositories,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however, there are large diferences in the IQR values, indicating a much more skewed distribution for Maven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Central (184.0) as compared to the NPM Registry (25.4) or NuGet.org (3.8).</w:t>
      </w:r>
    </w:p>
    <w:p>
      <w:pPr>
        <w:autoSpaceDN w:val="0"/>
        <w:autoSpaceDE w:val="0"/>
        <w:widowControl/>
        <w:spacing w:line="244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general, in Table 1 we observe rather large IQR values, especially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In order to gain more meaningful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insights, we plot a stacked histogram of both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values in Figure 7. For each repository, the chart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indicates the amount of patches released before vulnerability disclosure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≤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0), between disclosure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publication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D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 and after publication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≥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0).</w:t>
      </w:r>
    </w:p>
    <w:p>
      <w:pPr>
        <w:autoSpaceDN w:val="0"/>
        <w:autoSpaceDE w:val="0"/>
        <w:widowControl/>
        <w:spacing w:line="236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observed that, in total, almost 50% of all vulnerabilities are patched before their date of disclosure. This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suggests that library developers employ vulnerability detection processes, and manage to signiicantly reduce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attack surface of their library before any external actor informs them about a particular threat. Furthermore,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around 73% of all vulnerabilities are patched before their publication, meaning that without any insider knowledge,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attacker may only be able to exploit the remaining 27% for an attack. In addition to that, our data suggests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an additional 7% of vulnerabilities are patched within the irst month after publication.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this average data does match our general expectation of the patch release date distribution, there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some notable diferences between repositories. While for Maven Central over 50% of all vulnerabilities are patched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before their disclosure, the corresponding value for NuGet.org is only 33%. However, with 86% being patched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before publication, NuGet.org outperforms Maven Central, which is below 75% for this value. This suggests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maintainers of the NuGet.org repository rely on vulnerability disclosure to a larger degree than their colleagues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at Maven Central, but are still able to patch a larger amount of vulnerabilities before they are made public.</w:t>
      </w:r>
    </w:p>
    <w:p>
      <w:pPr>
        <w:autoSpaceDN w:val="0"/>
        <w:autoSpaceDE w:val="0"/>
        <w:widowControl/>
        <w:spacing w:line="166" w:lineRule="exact" w:before="40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1371600</wp:posOffset>
            </wp:positionV>
            <wp:extent cx="5829300" cy="58928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92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</w:tblGrid>
      <w:tr>
        <w:trPr>
          <w:trHeight w:hRule="exact" w:val="314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3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1:14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5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96" w:after="0"/>
              <w:ind w:left="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76" w:after="0"/>
              <w:ind w:left="13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96" w:after="0"/>
              <w:ind w:left="6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</w:t>
            </w:r>
          </w:p>
        </w:tc>
        <w:tc>
          <w:tcPr>
            <w:tcW w:type="dxa" w:w="22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960" w:after="0"/>
              <w:ind w:left="0" w:right="104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Maven Central</w:t>
            </w:r>
          </w:p>
        </w:tc>
        <w:tc>
          <w:tcPr>
            <w:tcW w:type="dxa" w:w="116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960" w:after="0"/>
              <w:ind w:left="214" w:right="0" w:firstLine="0"/>
              <w:jc w:val="lef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NPM Registry</w:t>
            </w:r>
          </w:p>
        </w:tc>
        <w:tc>
          <w:tcPr>
            <w:tcW w:type="dxa" w:w="13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960" w:after="0"/>
              <w:ind w:left="0" w:right="0" w:firstLine="0"/>
              <w:jc w:val="center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NuGet.org</w:t>
            </w:r>
          </w:p>
        </w:tc>
      </w:tr>
      <w:tr>
        <w:trPr>
          <w:trHeight w:hRule="exact" w:val="580"/>
        </w:trPr>
        <w:tc>
          <w:tcPr>
            <w:tcW w:type="dxa" w:w="429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Amount of vulnerabilities</w:t>
            </w:r>
          </w:p>
        </w:tc>
        <w:tc>
          <w:tcPr>
            <w:tcW w:type="dxa" w:w="25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2" w:after="0"/>
              <w:ind w:left="5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100%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1716"/>
            <w:gridSpan w:val="4"/>
            <w:vMerge/>
            <w:tcBorders/>
          </w:tcPr>
          <w:p/>
        </w:tc>
        <w:tc>
          <w:tcPr>
            <w:tcW w:type="dxa" w:w="1287"/>
            <w:gridSpan w:val="3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5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4" w:after="0"/>
              <w:ind w:left="1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80%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1716"/>
            <w:gridSpan w:val="4"/>
            <w:vMerge/>
            <w:tcBorders/>
          </w:tcPr>
          <w:p/>
        </w:tc>
        <w:tc>
          <w:tcPr>
            <w:tcW w:type="dxa" w:w="1287"/>
            <w:gridSpan w:val="3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1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176" w:firstLine="0"/>
              <w:jc w:val="right"/>
            </w:pPr>
            <w:r>
              <w:rPr>
                <w:w w:val="101.3913345336914"/>
                <w:rFonts w:ascii="LinLibertineI" w:hAnsi="LinLibertineI" w:eastAsia="LinLibertineI"/>
                <w:b w:val="0"/>
                <w:i w:val="0"/>
                <w:color w:val="000000"/>
                <w:sz w:val="15"/>
              </w:rPr>
              <w:t>X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1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˜</w:t>
            </w:r>
            <w:r>
              <w:rPr>
                <w:w w:val="101.3913345336914"/>
                <w:rFonts w:ascii="LinLibertineI" w:hAnsi="LinLibertineI" w:eastAsia="LinLibertineI"/>
                <w:b w:val="0"/>
                <w:i w:val="0"/>
                <w:color w:val="000000"/>
                <w:sz w:val="15"/>
              </w:rPr>
              <w:t>X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IQR</w:t>
            </w:r>
          </w:p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70" w:firstLine="0"/>
              <w:jc w:val="right"/>
            </w:pPr>
            <w:r>
              <w:rPr>
                <w:w w:val="101.3913345336914"/>
                <w:rFonts w:ascii="LinLibertineI" w:hAnsi="LinLibertineI" w:eastAsia="LinLibertineI"/>
                <w:b w:val="0"/>
                <w:i w:val="0"/>
                <w:color w:val="000000"/>
                <w:sz w:val="15"/>
              </w:rPr>
              <w:t>X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˜</w:t>
            </w:r>
            <w:r>
              <w:rPr>
                <w:w w:val="101.3913345336914"/>
                <w:rFonts w:ascii="LinLibertineI" w:hAnsi="LinLibertineI" w:eastAsia="LinLibertineI"/>
                <w:b w:val="0"/>
                <w:i w:val="0"/>
                <w:color w:val="000000"/>
                <w:sz w:val="15"/>
              </w:rPr>
              <w:t>X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IQR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116" w:firstLine="0"/>
              <w:jc w:val="right"/>
            </w:pPr>
            <w:r>
              <w:rPr>
                <w:w w:val="101.3913345336914"/>
                <w:rFonts w:ascii="LinLibertineI" w:hAnsi="LinLibertineI" w:eastAsia="LinLibertineI"/>
                <w:b w:val="0"/>
                <w:i w:val="0"/>
                <w:color w:val="000000"/>
                <w:sz w:val="15"/>
              </w:rPr>
              <w:t>X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˜</w:t>
            </w:r>
            <w:r>
              <w:rPr>
                <w:w w:val="101.3913345336914"/>
                <w:rFonts w:ascii="LinLibertineI" w:hAnsi="LinLibertineI" w:eastAsia="LinLibertineI"/>
                <w:b w:val="0"/>
                <w:i w:val="0"/>
                <w:color w:val="000000"/>
                <w:sz w:val="15"/>
              </w:rPr>
              <w:t>X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4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IQR</w:t>
            </w:r>
          </w:p>
        </w:tc>
      </w:tr>
      <w:tr>
        <w:trPr>
          <w:trHeight w:hRule="exact" w:val="64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5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4" w:after="0"/>
              <w:ind w:left="1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60%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58"/>
            <w:gridSpan w:val="2"/>
            <w:vMerge/>
            <w:tcBorders/>
          </w:tcPr>
          <w:p/>
        </w:tc>
        <w:tc>
          <w:tcPr>
            <w:tcW w:type="dxa" w:w="858"/>
            <w:gridSpan w:val="2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58"/>
            <w:gridSpan w:val="2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40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0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2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5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0.2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42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0.3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0.1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0.3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0.8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0.7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0.9</w:t>
            </w:r>
          </w:p>
        </w:tc>
      </w:tr>
      <w:tr>
        <w:trPr>
          <w:trHeight w:hRule="exact" w:val="186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1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8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88.5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1.2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18.4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26.9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2.2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6.9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</w:tr>
      <w:tr>
        <w:trPr>
          <w:trHeight w:hRule="exact" w:val="192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5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2" w:after="0"/>
              <w:ind w:left="1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4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2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5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587.2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5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1.4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75.8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35.9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8.6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</w:tr>
      <w:tr>
        <w:trPr>
          <w:trHeight w:hRule="exact" w:val="188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3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3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1,878.0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1.0</w:t>
            </w:r>
          </w:p>
        </w:tc>
        <w:tc>
          <w:tcPr>
            <w:tcW w:type="dxa" w:w="5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190.7</w:t>
            </w:r>
          </w:p>
        </w:tc>
        <w:tc>
          <w:tcPr>
            <w:tcW w:type="dxa" w:w="3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31.9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0.2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8.3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</w:tr>
      <w:tr>
        <w:trPr>
          <w:trHeight w:hRule="exact" w:val="74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4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3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4,200.0</w:t>
            </w:r>
          </w:p>
        </w:tc>
        <w:tc>
          <w:tcPr>
            <w:tcW w:type="dxa" w:w="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5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353.8</w:t>
            </w:r>
          </w:p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25.8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9.3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</w:tr>
      <w:tr>
        <w:trPr>
          <w:trHeight w:hRule="exact" w:val="114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5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2" w:after="0"/>
              <w:ind w:left="1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58"/>
            <w:gridSpan w:val="2"/>
            <w:vMerge/>
            <w:tcBorders/>
          </w:tcPr>
          <w:p/>
        </w:tc>
        <w:tc>
          <w:tcPr>
            <w:tcW w:type="dxa" w:w="858"/>
            <w:gridSpan w:val="2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2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5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3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7,649.3</w:t>
            </w:r>
          </w:p>
        </w:tc>
        <w:tc>
          <w:tcPr>
            <w:tcW w:type="dxa" w:w="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8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0.2</w:t>
            </w:r>
          </w:p>
        </w:tc>
        <w:tc>
          <w:tcPr>
            <w:tcW w:type="dxa" w:w="5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444.6</w:t>
            </w:r>
          </w:p>
        </w:tc>
        <w:tc>
          <w:tcPr>
            <w:tcW w:type="dxa" w:w="3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20.2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4.1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</w:tr>
      <w:tr>
        <w:trPr>
          <w:trHeight w:hRule="exact" w:val="167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2145"/>
            <w:gridSpan w:val="5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2" w:after="0"/>
              <w:ind w:left="0" w:right="80" w:firstLine="0"/>
              <w:jc w:val="right"/>
            </w:pPr>
            <w:r>
              <w:rPr>
                <w:w w:val="101.3913345336914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Level 6</w:t>
            </w:r>
          </w:p>
        </w:tc>
        <w:tc>
          <w:tcPr>
            <w:tcW w:type="dxa" w:w="6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11,645.9</w:t>
            </w:r>
          </w:p>
        </w:tc>
        <w:tc>
          <w:tcPr>
            <w:tcW w:type="dxa" w:w="3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5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634.3</w:t>
            </w:r>
          </w:p>
        </w:tc>
        <w:tc>
          <w:tcPr>
            <w:tcW w:type="dxa" w:w="3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15.5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7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16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64" w:firstLine="0"/>
              <w:jc w:val="righ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2.0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28" w:right="0" w:firstLine="0"/>
              <w:jc w:val="left"/>
            </w:pPr>
            <w:r>
              <w:rPr>
                <w:w w:val="101.3913345336914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0.0</w:t>
            </w:r>
          </w:p>
        </w:tc>
      </w:tr>
      <w:tr>
        <w:trPr>
          <w:trHeight w:hRule="exact" w:val="277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6" w:after="0"/>
              <w:ind w:left="0" w:right="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0" w:right="39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7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8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>Table 2. Mean, median and IQC values for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w w:val="96.96933110555013"/>
                <w:rFonts w:ascii="LinBiolinumT" w:hAnsi="LinBiolinumT" w:eastAsia="LinBiolinumT"/>
                <w:b w:val="0"/>
                <w:i w:val="0"/>
                <w:color w:val="000000"/>
                <w:sz w:val="15"/>
              </w:rPr>
              <w:t>Art,n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 xml:space="preserve"> per 100,000</w:t>
            </w:r>
          </w:p>
        </w:tc>
      </w:tr>
      <w:tr>
        <w:trPr>
          <w:trHeight w:hRule="exact" w:val="214"/>
        </w:trPr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29"/>
            <w:vMerge/>
            <w:tcBorders/>
          </w:tcPr>
          <w:p/>
        </w:tc>
        <w:tc>
          <w:tcPr>
            <w:tcW w:type="dxa" w:w="472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" w:after="0"/>
              <w:ind w:left="18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>total artifacts for each level and repository</w:t>
            </w:r>
          </w:p>
        </w:tc>
      </w:tr>
    </w:tbl>
    <w:p>
      <w:pPr>
        <w:autoSpaceDN w:val="0"/>
        <w:autoSpaceDE w:val="0"/>
        <w:widowControl/>
        <w:spacing w:line="208" w:lineRule="exact" w:before="24" w:after="0"/>
        <w:ind w:left="0" w:right="634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Level</w:t>
      </w:r>
    </w:p>
    <w:p>
      <w:pPr>
        <w:autoSpaceDN w:val="0"/>
        <w:autoSpaceDE w:val="0"/>
        <w:widowControl/>
        <w:spacing w:line="186" w:lineRule="exact" w:before="270" w:after="0"/>
        <w:ind w:left="528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8. Amount of vulnerabilities with impact per level</w:t>
      </w:r>
    </w:p>
    <w:p>
      <w:pPr>
        <w:autoSpaceDN w:val="0"/>
        <w:autoSpaceDE w:val="0"/>
        <w:widowControl/>
        <w:spacing w:line="238" w:lineRule="exact" w:before="506" w:after="0"/>
        <w:ind w:left="322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Over 25% of all vulnerabilities are unpatched, with the majority being of high or critical severity. The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main driver for both trends is the NPM Registry repository. Almost 75% of all patches are released be-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fore vulnerability publication, on average this happens 184 days prior. NuGet.org patches are released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the earliest compared to vulnerability publication.</w:t>
      </w:r>
    </w:p>
    <w:p>
      <w:pPr>
        <w:autoSpaceDN w:val="0"/>
        <w:autoSpaceDE w:val="0"/>
        <w:widowControl/>
        <w:spacing w:line="238" w:lineRule="exact" w:before="296" w:after="0"/>
        <w:ind w:left="254" w:right="168" w:firstLine="0"/>
        <w:jc w:val="both"/>
      </w:pPr>
      <w:r>
        <w:rPr>
          <w:rFonts w:ascii="LinBiolinumTBO" w:hAnsi="LinBiolinumTBO" w:eastAsia="LinBiolinumTBO"/>
          <w:b/>
          <w:i w:val="0"/>
          <w:color w:val="000000"/>
          <w:sz w:val="20"/>
        </w:rPr>
        <w:t>RQ2: What is the transitive impact of vulnerabilities?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inspect the net impact of vulnerabilities by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measuring the number of artifacts that are afected, both directly and transitively. As part of this, we also analyze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length of transitive dependency chains that propagate such vulnerabilities.</w:t>
      </w:r>
    </w:p>
    <w:p>
      <w:pPr>
        <w:autoSpaceDN w:val="0"/>
        <w:tabs>
          <w:tab w:pos="458" w:val="left"/>
        </w:tabs>
        <w:autoSpaceDE w:val="0"/>
        <w:widowControl/>
        <w:spacing w:line="220" w:lineRule="exact" w:before="144" w:after="0"/>
        <w:ind w:left="0" w:right="1008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MATCH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(v:Vulnerability {snyk_id:</w:t>
      </w:r>
      <w:r>
        <w:rPr>
          <w:rFonts w:ascii="Inconsolata" w:hAnsi="Inconsolata" w:eastAsia="Inconsolata"/>
          <w:b w:val="0"/>
          <w:i w:val="0"/>
          <w:color w:val="FF0000"/>
          <w:sz w:val="16"/>
        </w:rPr>
        <w:t>'DUMMY -ID'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}) -[:AFFECTS|REFERENCES *2]-&gt;(l0:Artifact)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2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MATCH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p = (l0) &lt;-[:DEPENDS_ON *0..6] -(a:Artifact)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3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WITH</w:t>
      </w:r>
      <w:r>
        <w:rPr>
          <w:rFonts w:ascii="Inconsolata" w:hAnsi="Inconsolata" w:eastAsia="Inconsolata"/>
          <w:b w:val="0"/>
          <w:i w:val="0"/>
          <w:color w:val="44A832"/>
          <w:sz w:val="16"/>
        </w:rPr>
        <w:t xml:space="preserve"> length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>(p)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depth , a.LibraryId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lib , a.UniqueId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uid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4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WITH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depth ,</w:t>
      </w:r>
      <w:r>
        <w:rPr>
          <w:rFonts w:ascii="Inconsolata" w:hAnsi="Inconsolata" w:eastAsia="Inconsolata"/>
          <w:b w:val="0"/>
          <w:i w:val="0"/>
          <w:color w:val="44A832"/>
          <w:sz w:val="16"/>
        </w:rPr>
        <w:t xml:space="preserve"> count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>(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DISTINCT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lib)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lib_count ,</w:t>
      </w:r>
      <w:r>
        <w:rPr>
          <w:rFonts w:ascii="Inconsolata" w:hAnsi="Inconsolata" w:eastAsia="Inconsolata"/>
          <w:b w:val="0"/>
          <w:i w:val="0"/>
          <w:color w:val="44A832"/>
          <w:sz w:val="16"/>
        </w:rPr>
        <w:t xml:space="preserve"> count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>(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DISTINCT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uid)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art_count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5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RETURN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depth , lib_count , art_count</w:t>
      </w:r>
    </w:p>
    <w:p>
      <w:pPr>
        <w:autoSpaceDN w:val="0"/>
        <w:autoSpaceDE w:val="0"/>
        <w:widowControl/>
        <w:spacing w:line="254" w:lineRule="exact" w:before="110" w:after="0"/>
        <w:ind w:left="1570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Listing 2. Cypher query used to obtain values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I</w:t>
      </w:r>
      <w:r>
        <w:rPr>
          <w:w w:val="96.96933110555013"/>
          <w:rFonts w:ascii="LinBiolinumT" w:hAnsi="LinBiolinumT" w:eastAsia="LinBiolinumT"/>
          <w:b w:val="0"/>
          <w:i w:val="0"/>
          <w:color w:val="000000"/>
          <w:sz w:val="15"/>
        </w:rPr>
        <w:t>Art,n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and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I</w:t>
      </w:r>
      <w:r>
        <w:rPr>
          <w:w w:val="96.96933110555013"/>
          <w:rFonts w:ascii="LinBiolinumT" w:hAnsi="LinBiolinumT" w:eastAsia="LinBiolinumT"/>
          <w:b w:val="0"/>
          <w:i w:val="0"/>
          <w:color w:val="000000"/>
          <w:sz w:val="15"/>
        </w:rPr>
        <w:t>Lib,n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for a single vulnerability</w:t>
      </w:r>
    </w:p>
    <w:p>
      <w:pPr>
        <w:autoSpaceDN w:val="0"/>
        <w:autoSpaceDE w:val="0"/>
        <w:widowControl/>
        <w:spacing w:line="240" w:lineRule="exact" w:before="192" w:after="0"/>
        <w:ind w:left="24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order to do so, we query our data set and for each vulnerability extract the number of unique afected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libraries (</w:t>
      </w:r>
      <w:r>
        <w:rPr>
          <w:rFonts w:ascii="txsyb" w:hAnsi="txsyb" w:eastAsia="txsyb"/>
          <w:b w:val="0"/>
          <w:i w:val="0"/>
          <w:color w:val="000000"/>
          <w:sz w:val="20"/>
        </w:rPr>
        <w:t>I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Lib,n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 and unique afected artifacts (</w:t>
      </w:r>
      <w:r>
        <w:rPr>
          <w:rFonts w:ascii="txsyb" w:hAnsi="txsyb" w:eastAsia="txsyb"/>
          <w:b w:val="0"/>
          <w:i w:val="0"/>
          <w:color w:val="000000"/>
          <w:sz w:val="20"/>
        </w:rPr>
        <w:t>I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Art,n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 per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where the level captures the length of the transitive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chain.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I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Art,0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therefore corresponds to the number of artifacts directly afected by vulnerability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v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whereas </w:t>
      </w:r>
      <w:r>
        <w:rPr>
          <w:rFonts w:ascii="txsyb" w:hAnsi="txsyb" w:eastAsia="txsyb"/>
          <w:b w:val="0"/>
          <w:i w:val="0"/>
          <w:color w:val="000000"/>
          <w:sz w:val="20"/>
        </w:rPr>
        <w:t>I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Art,1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represents the number of artifacts directly depending on a level zero artifact for the same vulnerability.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As described in Section 5.2, the detection of dependencies is executed in an underapproximation mode (</w:t>
      </w:r>
      <w:r>
        <w:rPr>
          <w:rFonts w:ascii="txsyb" w:hAnsi="txsyb" w:eastAsia="txsyb"/>
          <w:b w:val="0"/>
          <w:i w:val="0"/>
          <w:color w:val="000000"/>
          <w:sz w:val="20"/>
        </w:rPr>
        <w:t>M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&lt;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). Due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performance reasons, we cut of our analysis at a depth of six. Listing 2 presents an example query that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used to obtain values for a single vulnerability in the Maven Central dependency graph, with the cutof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speciied as the recursive multiplicity of the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DEPENDS_ON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relation in line 2.</w:t>
      </w:r>
    </w:p>
    <w:p>
      <w:pPr>
        <w:autoSpaceDN w:val="0"/>
        <w:autoSpaceDE w:val="0"/>
        <w:widowControl/>
        <w:spacing w:line="240" w:lineRule="exact" w:before="2" w:after="0"/>
        <w:ind w:left="254" w:right="174" w:firstLine="200"/>
        <w:jc w:val="both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In Figure 8 we illustrate the transitive impact of vulnerabilities. We say a vulnerability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v</w:t>
      </w:r>
      <w:r>
        <w:rPr>
          <w:w w:val="98.87598037719727"/>
          <w:rFonts w:ascii="LinLibertineTI" w:hAnsi="LinLibertineTI" w:eastAsia="LinLibertineTI"/>
          <w:b w:val="0"/>
          <w:i w:val="0"/>
          <w:color w:val="000000"/>
          <w:sz w:val="20"/>
        </w:rPr>
        <w:t xml:space="preserve"> has impact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 on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if it afects at least one library on that level, ie.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I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Lib,n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v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&gt;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0. We observe that vulnerabilities in the Maven Central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Repository have the most impact on the irst six levels. Here, more than 70% of all vulnerabilities have an impact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the irst level, and roughly 50% have an impact on the sixth level. For the NPM Registry these values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signiicantly lower. The former one being not more than 60% and the latter just over 15%. Finally, vulnerabilities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NuGet.org exhibit the least impact of all three repositories, merely 3% have an impact on level six.</w:t>
      </w:r>
    </w:p>
    <w:p>
      <w:pPr>
        <w:autoSpaceDN w:val="0"/>
        <w:autoSpaceDE w:val="0"/>
        <w:widowControl/>
        <w:spacing w:line="166" w:lineRule="exact" w:before="324" w:after="0"/>
        <w:ind w:left="25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2" w:right="1440" w:bottom="1136" w:left="1360" w:header="720" w:footer="720" w:gutter="0"/>
          <w:cols w:space="720" w:num="1" w:equalWidth="0"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4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1:15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984"/>
        <w:ind w:left="168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we cut of our automated analysis at level six, it does not reveal any information about the total length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impact chains in the data set. Therefore, we conducted a structured manual analysis on the most impactful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vulnerabilities, which are likely to exhibit the longest impact chains. However, it must be noted that there may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be longer chains for less impactful vulnerabilities, therefore our results may only be seen as an indication for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general trend in terms of impact chain length. Table 3 reports the maximum chain length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L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MAX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that we observed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during manual inspection for each repository. The longest chain is comprised of 38 artifacts and is part of the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Maven Central repository. The impact chains for the NPM Registry and NuGet.org proved to be shorter, here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observed maximum lengths of 15 and 13,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2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48"/>
        </w:trPr>
        <w:tc>
          <w:tcPr>
            <w:tcW w:type="dxa" w:w="14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Repository</w:t>
            </w:r>
          </w:p>
        </w:tc>
        <w:tc>
          <w:tcPr>
            <w:tcW w:type="dxa" w:w="15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Target Library</w:t>
            </w:r>
          </w:p>
        </w:tc>
        <w:tc>
          <w:tcPr>
            <w:tcW w:type="dxa" w:w="17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CVE Identiier</w:t>
            </w:r>
          </w:p>
        </w:tc>
        <w:tc>
          <w:tcPr>
            <w:tcW w:type="dxa" w:w="9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Severity</w:t>
            </w:r>
          </w:p>
        </w:tc>
        <w:tc>
          <w:tcPr>
            <w:tcW w:type="dxa" w:w="6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L</w:t>
            </w:r>
            <w:r>
              <w:rPr>
                <w:w w:val="96.96933110555013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MAX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62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48"/>
        </w:trPr>
        <w:tc>
          <w:tcPr>
            <w:tcW w:type="dxa" w:w="14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 Central</w:t>
            </w:r>
          </w:p>
        </w:tc>
        <w:tc>
          <w:tcPr>
            <w:tcW w:type="dxa" w:w="15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9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00"/>
                <w:sz w:val="20"/>
              </w:rPr>
              <w:t>log4j:log4j</w:t>
            </w:r>
          </w:p>
        </w:tc>
        <w:tc>
          <w:tcPr>
            <w:tcW w:type="dxa" w:w="17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CVE-2019-17571</w:t>
            </w:r>
          </w:p>
        </w:tc>
        <w:tc>
          <w:tcPr>
            <w:tcW w:type="dxa" w:w="9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Critical</w:t>
            </w:r>
          </w:p>
        </w:tc>
        <w:tc>
          <w:tcPr>
            <w:tcW w:type="dxa" w:w="6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38</w:t>
            </w:r>
          </w:p>
        </w:tc>
      </w:tr>
      <w:tr>
        <w:trPr>
          <w:trHeight w:hRule="exact" w:val="248"/>
        </w:trPr>
        <w:tc>
          <w:tcPr>
            <w:tcW w:type="dxa" w:w="14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 Registry</w:t>
            </w:r>
          </w:p>
        </w:tc>
        <w:tc>
          <w:tcPr>
            <w:tcW w:type="dxa" w:w="15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" w:after="0"/>
              <w:ind w:left="9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00"/>
                <w:sz w:val="20"/>
              </w:rPr>
              <w:t>lodash</w:t>
            </w:r>
          </w:p>
        </w:tc>
        <w:tc>
          <w:tcPr>
            <w:tcW w:type="dxa" w:w="17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CVE-2019-1010266</w:t>
            </w:r>
          </w:p>
        </w:tc>
        <w:tc>
          <w:tcPr>
            <w:tcW w:type="dxa" w:w="9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Medium</w:t>
            </w:r>
          </w:p>
        </w:tc>
        <w:tc>
          <w:tcPr>
            <w:tcW w:type="dxa" w:w="6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15</w:t>
            </w:r>
          </w:p>
        </w:tc>
      </w:tr>
      <w:tr>
        <w:trPr>
          <w:trHeight w:hRule="exact" w:val="246"/>
        </w:trPr>
        <w:tc>
          <w:tcPr>
            <w:tcW w:type="dxa" w:w="14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NuGet.org</w:t>
            </w:r>
          </w:p>
        </w:tc>
        <w:tc>
          <w:tcPr>
            <w:tcW w:type="dxa" w:w="15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94" w:right="0" w:firstLine="0"/>
              <w:jc w:val="left"/>
            </w:pPr>
            <w:r>
              <w:rPr>
                <w:rFonts w:ascii="Inconsolata" w:hAnsi="Inconsolata" w:eastAsia="Inconsolata"/>
                <w:b w:val="0"/>
                <w:i w:val="0"/>
                <w:color w:val="000000"/>
                <w:sz w:val="20"/>
              </w:rPr>
              <w:t>log4net</w:t>
            </w:r>
          </w:p>
        </w:tc>
        <w:tc>
          <w:tcPr>
            <w:tcW w:type="dxa" w:w="17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CVE-2018-1285</w:t>
            </w:r>
          </w:p>
        </w:tc>
        <w:tc>
          <w:tcPr>
            <w:tcW w:type="dxa" w:w="9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High</w:t>
            </w:r>
          </w:p>
        </w:tc>
        <w:tc>
          <w:tcPr>
            <w:tcW w:type="dxa" w:w="6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86" w:lineRule="exact" w:before="3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Vulnerability with maximum impact chain length seen during manual analysis</w:t>
      </w:r>
    </w:p>
    <w:p>
      <w:pPr>
        <w:autoSpaceDN w:val="0"/>
        <w:autoSpaceDE w:val="0"/>
        <w:widowControl/>
        <w:spacing w:line="238" w:lineRule="exact" w:before="1304" w:after="0"/>
        <w:ind w:left="166" w:right="144" w:firstLine="200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Apart from the length of impact chains, we also investigate the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I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Art,n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values for each level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. In order to enable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comparison between repositories, we normalize those values per 100,000 total artifacts for each repository.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Table 2 presents the mean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 and median (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˜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) number of afected artifacts per level, as well as the corresponding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IQR. Interestingly, we observe turning points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X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at levels two and four for the NPM Registry and NuGet.org,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while the values for Maven Central exhibit continuous growth until level six. This matches both our observation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very long impact chains in Maven Central (cf. Table 3) and the large number of Maven vulnerabilities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impact on level six or higher (cf. Figure 8).</w:t>
      </w:r>
    </w:p>
    <w:p>
      <w:pPr>
        <w:autoSpaceDN w:val="0"/>
        <w:autoSpaceDE w:val="0"/>
        <w:widowControl/>
        <w:spacing w:line="238" w:lineRule="exact" w:before="2" w:after="134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However, the direct comparison between Maven Central and NuGet.org reveals a stark contrast in vulnerability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impact: While in NuGet.org on average only 2 artifacts per 100,000 are afected by vulnerabilities on level 6,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corresponding values for Maven Central is almost 6,000 times larger.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.0000000000001" w:type="dxa"/>
      </w:tblPr>
      <w:tblGrid>
        <w:gridCol w:w="9360"/>
      </w:tblGrid>
      <w:tr>
        <w:trPr>
          <w:trHeight w:hRule="exact" w:val="794"/>
        </w:trPr>
        <w:tc>
          <w:tcPr>
            <w:tcW w:type="dxa" w:w="9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60" w:right="0" w:hanging="8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Vulnerabilities in the Maven Central repository afect the most artifacts and do so via the longest tran-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sitive dependency chains. On the other hand, NuGet.org vulnerabilities have the shortest transitive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impact chains, and afect less than 0.02% the number of artifacts compared to Maven.</w:t>
            </w:r>
          </w:p>
        </w:tc>
      </w:tr>
    </w:tbl>
    <w:p>
      <w:pPr>
        <w:autoSpaceDN w:val="0"/>
        <w:autoSpaceDE w:val="0"/>
        <w:widowControl/>
        <w:spacing w:line="238" w:lineRule="exact" w:before="432" w:after="0"/>
        <w:ind w:left="174" w:right="166" w:firstLine="0"/>
        <w:jc w:val="both"/>
      </w:pPr>
      <w:r>
        <w:rPr>
          <w:rFonts w:ascii="LinBiolinumTBO" w:hAnsi="LinBiolinumTBO" w:eastAsia="LinBiolinumTBO"/>
          <w:b/>
          <w:i w:val="0"/>
          <w:color w:val="000000"/>
          <w:sz w:val="20"/>
        </w:rPr>
        <w:t>RQ3: How long does it take developers to upgrade vulnerable direct dependencies?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analyze how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long it takes library maintainers to upgrade a vulnerable direct dependency, as compared to the vulnerability’s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publication. We are especially interested in inding out whether the publication of vulnerabilities triggers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immediate response from library maintainers. Since maintainers are generally not involved in the disclosure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process, we do not compare the time of upgrades to vulnerability disclosure dates here. Furthermore, we present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information on the relative number of afected libraries per repository and investigate the</w:t>
      </w:r>
      <w:r>
        <w:rPr>
          <w:w w:val="98.9261531829834"/>
          <w:rFonts w:ascii="LinLibertineTI" w:hAnsi="LinLibertineTI" w:eastAsia="LinLibertineTI"/>
          <w:b w:val="0"/>
          <w:i w:val="0"/>
          <w:color w:val="000000"/>
          <w:sz w:val="20"/>
        </w:rPr>
        <w:t xml:space="preserve"> upgrade ratio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 for such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libraries.</w:t>
      </w:r>
    </w:p>
    <w:p>
      <w:pPr>
        <w:autoSpaceDN w:val="0"/>
        <w:autoSpaceDE w:val="0"/>
        <w:widowControl/>
        <w:spacing w:line="166" w:lineRule="exact" w:before="4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5.99999999999994" w:type="dxa"/>
      </w:tblPr>
      <w:tblGrid>
        <w:gridCol w:w="3120"/>
        <w:gridCol w:w="3120"/>
        <w:gridCol w:w="3120"/>
      </w:tblGrid>
      <w:tr>
        <w:trPr>
          <w:trHeight w:hRule="exact" w:val="474"/>
        </w:trPr>
        <w:tc>
          <w:tcPr>
            <w:tcW w:type="dxa" w:w="33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1:16</w:t>
            </w:r>
          </w:p>
        </w:tc>
        <w:tc>
          <w:tcPr>
            <w:tcW w:type="dxa" w:w="2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847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10" w:lineRule="exact" w:before="30" w:after="0"/>
        <w:ind w:left="166" w:right="0" w:firstLine="0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Algorithm 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UpgradeDurationAnalysis</w:t>
      </w:r>
    </w:p>
    <w:p>
      <w:pPr>
        <w:autoSpaceDN w:val="0"/>
        <w:autoSpaceDE w:val="0"/>
        <w:widowControl/>
        <w:spacing w:line="230" w:lineRule="exact" w:before="86" w:after="6"/>
        <w:ind w:left="30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1: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for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←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VulnerabilitiesWithPatch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do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4680"/>
        <w:gridCol w:w="4680"/>
      </w:tblGrid>
      <w:tr>
        <w:trPr>
          <w:trHeight w:hRule="exact" w:val="2884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144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2: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3: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4: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5: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6: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7: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8: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9: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10: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11: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 xml:space="preserve">12: </w:t>
            </w:r>
            <w:r>
              <w:br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13:</w:t>
            </w:r>
          </w:p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2" w:val="left"/>
              </w:tabs>
              <w:autoSpaceDE w:val="0"/>
              <w:widowControl/>
              <w:spacing w:line="238" w:lineRule="exact" w:before="0" w:after="0"/>
              <w:ind w:left="152" w:right="1872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AfectedLibs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getLibrariesUsingArtifactAfectedBy(v)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for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lib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AfectedLibs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do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Report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LibraryReports.get(lib)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Report.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V 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+= 1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FirstNotAfected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getFirstReleaseNotAfectedBy(lib, v)</w:t>
            </w:r>
          </w:p>
          <w:p>
            <w:pPr>
              <w:autoSpaceDN w:val="0"/>
              <w:tabs>
                <w:tab w:pos="544" w:val="left"/>
                <w:tab w:pos="550" w:val="left"/>
              </w:tabs>
              <w:autoSpaceDE w:val="0"/>
              <w:widowControl/>
              <w:spacing w:line="240" w:lineRule="exact" w:before="2" w:after="0"/>
              <w:ind w:left="352" w:right="1872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if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FirstNotAfected != None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then </w:t>
            </w:r>
            <w:r>
              <w:br/>
            </w:r>
            <w:r>
              <w:tab/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PU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←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FirstNotAfected.ReleaseDate - v.PublishedAt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Report.updateMeanDuration(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PU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)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else </w:t>
            </w:r>
            <w:r>
              <w:br/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Report.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U 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+= 1 </w:t>
            </w:r>
            <w:r>
              <w:br/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end if</w:t>
            </w:r>
          </w:p>
          <w:p>
            <w:pPr>
              <w:autoSpaceDN w:val="0"/>
              <w:autoSpaceDE w:val="0"/>
              <w:widowControl/>
              <w:spacing w:line="200" w:lineRule="exact" w:before="38" w:after="0"/>
              <w:ind w:left="15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end for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0"/>
        <w:ind w:left="22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14: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end for</w:t>
      </w:r>
    </w:p>
    <w:p>
      <w:pPr>
        <w:autoSpaceDN w:val="0"/>
        <w:autoSpaceDE w:val="0"/>
        <w:widowControl/>
        <w:spacing w:line="244" w:lineRule="exact" w:before="378" w:after="298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each unique library identiier, our analysis collects the number of total vulnerable dependencies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VD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well as the number of vulnerable dependencies that have not been upgraded for this library, which we call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unpatched dependencies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UD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). Based on that, we deine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patching ratio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for each library as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 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  <w:u w:val="single"/>
        </w:rPr>
        <w:t xml:space="preserve">UD 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  <w:u w:val="single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VD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Furthermore, for every library that has at least one patched vulnerable dependency, we extract the mean duration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between vulnerability publication and dependency upgrade,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PU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in seconds. This methodology is illustrated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 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4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46"/>
        </w:trPr>
        <w:tc>
          <w:tcPr>
            <w:tcW w:type="dxa" w:w="14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Repository</w:t>
            </w:r>
          </w:p>
        </w:tc>
        <w:tc>
          <w:tcPr>
            <w:tcW w:type="dxa" w:w="115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# Libraries</w:t>
            </w:r>
          </w:p>
        </w:tc>
        <w:tc>
          <w:tcPr>
            <w:tcW w:type="dxa" w:w="19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Relative # Libraries</w:t>
            </w:r>
          </w:p>
        </w:tc>
        <w:tc>
          <w:tcPr>
            <w:tcW w:type="dxa" w:w="7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VD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</w:p>
        </w:tc>
        <w:tc>
          <w:tcPr>
            <w:tcW w:type="dxa" w:w="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 xml:space="preserve"> P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</w:p>
        </w:tc>
        <w:tc>
          <w:tcPr>
            <w:tcW w:type="dxa" w:w="15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PU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in Days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54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48"/>
        </w:trPr>
        <w:tc>
          <w:tcPr>
            <w:tcW w:type="dxa" w:w="256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1282"/>
              <w:gridCol w:w="1282"/>
            </w:tblGrid>
            <w:tr>
              <w:trPr>
                <w:trHeight w:hRule="exact" w:val="220"/>
              </w:trPr>
              <w:tc>
                <w:tcPr>
                  <w:tcW w:type="dxa" w:w="1362"/>
                  <w:tcBorders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8" w:after="0"/>
                    <w:ind w:left="0" w:right="0" w:firstLine="0"/>
                    <w:jc w:val="center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Maven Central</w:t>
                  </w:r>
                </w:p>
              </w:tc>
              <w:tc>
                <w:tcPr>
                  <w:tcW w:type="dxa" w:w="978"/>
                  <w:tcBorders>
                    <w:start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8" w:after="0"/>
                    <w:ind w:left="0" w:right="146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99,162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28,97%</w:t>
            </w:r>
          </w:p>
        </w:tc>
        <w:tc>
          <w:tcPr>
            <w:tcW w:type="dxa" w:w="7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8.7</w:t>
            </w:r>
          </w:p>
        </w:tc>
        <w:tc>
          <w:tcPr>
            <w:tcW w:type="dxa" w:w="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38%</w:t>
            </w:r>
          </w:p>
        </w:tc>
        <w:tc>
          <w:tcPr>
            <w:tcW w:type="dxa" w:w="15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-192</w:t>
            </w:r>
          </w:p>
        </w:tc>
      </w:tr>
      <w:tr>
        <w:trPr>
          <w:trHeight w:hRule="exact" w:val="246"/>
        </w:trPr>
        <w:tc>
          <w:tcPr>
            <w:tcW w:type="dxa" w:w="256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1282"/>
              <w:gridCol w:w="1282"/>
            </w:tblGrid>
            <w:tr>
              <w:trPr>
                <w:trHeight w:hRule="exact" w:val="218"/>
              </w:trPr>
              <w:tc>
                <w:tcPr>
                  <w:tcW w:type="dxa" w:w="1362"/>
                  <w:tcBorders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exact" w:before="8" w:after="0"/>
                    <w:ind w:left="52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NuGet.org</w:t>
                  </w:r>
                </w:p>
              </w:tc>
              <w:tc>
                <w:tcPr>
                  <w:tcW w:type="dxa" w:w="958"/>
                  <w:tcBorders>
                    <w:start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exact" w:before="8" w:after="0"/>
                    <w:ind w:left="0" w:right="172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3,144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1.16%</w:t>
            </w:r>
          </w:p>
        </w:tc>
        <w:tc>
          <w:tcPr>
            <w:tcW w:type="dxa" w:w="7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2.8</w:t>
            </w:r>
          </w:p>
        </w:tc>
        <w:tc>
          <w:tcPr>
            <w:tcW w:type="dxa" w:w="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</w:tc>
        <w:tc>
          <w:tcPr>
            <w:tcW w:type="dxa" w:w="15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-212</w:t>
            </w:r>
          </w:p>
        </w:tc>
      </w:tr>
      <w:tr>
        <w:trPr>
          <w:trHeight w:hRule="exact" w:val="248"/>
        </w:trPr>
        <w:tc>
          <w:tcPr>
            <w:tcW w:type="dxa" w:w="256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.999999999999886" w:type="dxa"/>
            </w:tblPr>
            <w:tblGrid>
              <w:gridCol w:w="1282"/>
              <w:gridCol w:w="1282"/>
            </w:tblGrid>
            <w:tr>
              <w:trPr>
                <w:trHeight w:hRule="exact" w:val="220"/>
              </w:trPr>
              <w:tc>
                <w:tcPr>
                  <w:tcW w:type="dxa" w:w="1362"/>
                  <w:tcBorders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8" w:after="0"/>
                    <w:ind w:left="52" w:right="0" w:firstLine="0"/>
                    <w:jc w:val="lef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NPM Registry</w:t>
                  </w:r>
                </w:p>
              </w:tc>
              <w:tc>
                <w:tcPr>
                  <w:tcW w:type="dxa" w:w="998"/>
                  <w:tcBorders>
                    <w:start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8" w:lineRule="exact" w:before="8" w:after="0"/>
                    <w:ind w:left="0" w:right="120" w:firstLine="0"/>
                    <w:jc w:val="right"/>
                  </w:pPr>
                  <w:r>
                    <w:rPr>
                      <w:rFonts w:ascii="LinLibertineT" w:hAnsi="LinLibertineT" w:eastAsia="LinLibertineT"/>
                      <w:b w:val="0"/>
                      <w:i w:val="0"/>
                      <w:color w:val="000000"/>
                      <w:sz w:val="20"/>
                    </w:rPr>
                    <w:t>102,666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7.96%</w:t>
            </w:r>
          </w:p>
        </w:tc>
        <w:tc>
          <w:tcPr>
            <w:tcW w:type="dxa" w:w="7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3.4</w:t>
            </w:r>
          </w:p>
        </w:tc>
        <w:tc>
          <w:tcPr>
            <w:tcW w:type="dxa" w:w="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32%</w:t>
            </w:r>
          </w:p>
        </w:tc>
        <w:tc>
          <w:tcPr>
            <w:tcW w:type="dxa" w:w="15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-503</w:t>
            </w:r>
          </w:p>
        </w:tc>
      </w:tr>
    </w:tbl>
    <w:p>
      <w:pPr>
        <w:autoSpaceDN w:val="0"/>
        <w:autoSpaceDE w:val="0"/>
        <w:widowControl/>
        <w:spacing w:line="186" w:lineRule="exact" w:before="3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4. Key characteristics of the analysis results for RQ3 per repository</w:t>
      </w:r>
    </w:p>
    <w:p>
      <w:pPr>
        <w:autoSpaceDN w:val="0"/>
        <w:autoSpaceDE w:val="0"/>
        <w:widowControl/>
        <w:spacing w:line="238" w:lineRule="exact" w:before="588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Table 4 summarizes the main characteristics of our results for this RQ. It contains not only the total but also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the relative amount of libraries that have ever been afected by direct vulnerable dependencies. Here, we observe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signiicant diferences between repositories: While in Maven Central more than a fourth of all libraries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afected, in NuGet.org this value is just above 1%. In addition to that, Maven’s average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V D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value of 8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7 is notably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larger than the values for the NPM Registry (3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4) and NuGet.org (2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8). Despite these diferences, the average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values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r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 xml:space="preserve"> P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rather similar for all three repositories, with values ranging from 32% to 40%. On average,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vulnerable dependencies are patched up to 503 days before vulnerability publication (NPM Registry).</w:t>
      </w:r>
    </w:p>
    <w:p>
      <w:pPr>
        <w:autoSpaceDN w:val="0"/>
        <w:autoSpaceDE w:val="0"/>
        <w:widowControl/>
        <w:spacing w:line="256" w:lineRule="exact" w:before="0" w:after="0"/>
        <w:ind w:left="168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Upon investigating the distribution of patching rates, which is illustrated in Figure 9, we made an interesting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observation: Library maintainers tend to either upgrade all vulnerable dependencies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100%), or none of them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0%). We observed partial upgrades for only 17% (Maven Central) to 1% (NuGet.org) of all libraries.</w:t>
      </w:r>
    </w:p>
    <w:p>
      <w:pPr>
        <w:autoSpaceDN w:val="0"/>
        <w:autoSpaceDE w:val="0"/>
        <w:widowControl/>
        <w:spacing w:line="230" w:lineRule="exact" w:before="42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distribution of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PU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values is plotted in Figure 10. As we expected, most values for the NPM Registry are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below -400 days, which matches the low average reported in Table 4. However, in Maven Central and NuGet.org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between 10% and 13% of all values are larger than 400 days, which indicates that a substantial amount of vulnerable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dependencies is upgraded more than a year after the corresponding security advisory was published.</w:t>
      </w:r>
    </w:p>
    <w:p>
      <w:pPr>
        <w:autoSpaceDN w:val="0"/>
        <w:autoSpaceDE w:val="0"/>
        <w:widowControl/>
        <w:spacing w:line="166" w:lineRule="exact" w:before="31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1333500</wp:posOffset>
            </wp:positionV>
            <wp:extent cx="5829300" cy="60325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32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180"/>
        <w:gridCol w:w="1180"/>
        <w:gridCol w:w="1180"/>
        <w:gridCol w:w="1180"/>
        <w:gridCol w:w="1180"/>
        <w:gridCol w:w="1180"/>
        <w:gridCol w:w="1180"/>
        <w:gridCol w:w="1180"/>
      </w:tblGrid>
      <w:tr>
        <w:trPr>
          <w:trHeight w:hRule="exact" w:val="706"/>
        </w:trPr>
        <w:tc>
          <w:tcPr>
            <w:tcW w:type="dxa" w:w="2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00" w:after="0"/>
              <w:ind w:left="2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100%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2" w:after="0"/>
              <w:ind w:left="0" w:right="73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Amount of total values in interval</w:t>
            </w:r>
          </w:p>
        </w:tc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1:17</w:t>
            </w:r>
          </w:p>
        </w:tc>
      </w:tr>
      <w:tr>
        <w:trPr>
          <w:trHeight w:hRule="exact" w:val="316"/>
        </w:trPr>
        <w:tc>
          <w:tcPr>
            <w:tcW w:type="dxa" w:w="29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50" w:after="0"/>
              <w:ind w:left="2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6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50%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42" w:after="0"/>
              <w:ind w:left="76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PU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Distribution for Maven Central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3540"/>
            <w:gridSpan w:val="3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748" w:firstLine="0"/>
              <w:jc w:val="righ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PU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Distribution for NuGet.org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3540"/>
            <w:gridSpan w:val="3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" w:after="0"/>
              <w:ind w:left="6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760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PU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Distribution for the NPM Registry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2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38" w:after="0"/>
              <w:ind w:left="2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6" w:after="0"/>
              <w:ind w:left="6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2" w:after="0"/>
              <w:ind w:left="2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2" w:after="0"/>
              <w:ind w:left="6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820"/>
        </w:trPr>
        <w:tc>
          <w:tcPr>
            <w:tcW w:type="dxa" w:w="2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54" w:after="0"/>
              <w:ind w:left="2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00" w:after="0"/>
              <w:ind w:left="6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660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4" w:after="0"/>
              <w:ind w:left="0" w:right="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4" w:after="0"/>
              <w:ind w:left="3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4" w:after="0"/>
              <w:ind w:left="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 NuGet.org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5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6" w:after="0"/>
              <w:ind w:left="15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714"/>
        </w:trPr>
        <w:tc>
          <w:tcPr>
            <w:tcW w:type="dxa" w:w="1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2" w:after="0"/>
              <w:ind w:left="532" w:right="0" w:firstLine="0"/>
              <w:jc w:val="left"/>
            </w:pP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 P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100% 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r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 P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0%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100%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&gt;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r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 P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 xml:space="preserve"> &gt;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 xml:space="preserve"> 0%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5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08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>Fig. 10. Distribution of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δ</w:t>
            </w:r>
            <w:r>
              <w:rPr>
                <w:w w:val="96.96933110555013"/>
                <w:rFonts w:ascii="LinBiolinumT" w:hAnsi="LinBiolinumT" w:eastAsia="LinBiolinumT"/>
                <w:b w:val="0"/>
                <w:i w:val="0"/>
                <w:color w:val="000000"/>
                <w:sz w:val="15"/>
              </w:rPr>
              <w:t>PF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 xml:space="preserve"> values for each repository in days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  <w:tr>
        <w:trPr>
          <w:trHeight w:hRule="exact" w:val="428"/>
        </w:trPr>
        <w:tc>
          <w:tcPr>
            <w:tcW w:type="dxa" w:w="2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16" w:after="0"/>
              <w:ind w:left="28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>Fig. 9. Distribution of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18"/>
              </w:rPr>
              <w:t xml:space="preserve"> r</w:t>
            </w:r>
            <w:r>
              <w:rPr>
                <w:w w:val="96.96933110555013"/>
                <w:rFonts w:ascii="LinBiolinumT" w:hAnsi="LinBiolinumT" w:eastAsia="LinBiolinumT"/>
                <w:b w:val="0"/>
                <w:i w:val="0"/>
                <w:color w:val="000000"/>
                <w:sz w:val="15"/>
              </w:rPr>
              <w:t>P</w:t>
            </w: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8"/>
              </w:rPr>
              <w:t xml:space="preserve"> values</w:t>
            </w:r>
          </w:p>
        </w:tc>
        <w:tc>
          <w:tcPr>
            <w:tcW w:type="dxa" w:w="1180"/>
            <w:vMerge/>
            <w:tcBorders/>
          </w:tcPr>
          <w:p/>
        </w:tc>
        <w:tc>
          <w:tcPr>
            <w:tcW w:type="dxa" w:w="2360"/>
            <w:gridSpan w:val="2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  <w:tc>
          <w:tcPr>
            <w:tcW w:type="dxa" w:w="11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394" w:after="0"/>
        <w:ind w:left="25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Interestingly, both Maven Central and NPM Registry exhibit a slight peak in the [0; 100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)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interval,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may indicate that the publication of a vulnerability prompts some developers to immediately upgrade their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dependencies. Another reason for this observation may be the use of automated tools for vulnerability detection,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mentioned in Section 2.</w:t>
      </w:r>
    </w:p>
    <w:p>
      <w:pPr>
        <w:autoSpaceDN w:val="0"/>
        <w:autoSpaceDE w:val="0"/>
        <w:widowControl/>
        <w:spacing w:line="238" w:lineRule="exact" w:before="110" w:after="0"/>
        <w:ind w:left="322" w:right="0" w:hanging="8"/>
        <w:jc w:val="left"/>
      </w:pPr>
      <w:r>
        <w:rPr>
          <w:rFonts w:ascii="LinLibertineTB" w:hAnsi="LinLibertineTB" w:eastAsia="LinLibertineTB"/>
          <w:b/>
          <w:i w:val="0"/>
          <w:color w:val="000000"/>
          <w:sz w:val="20"/>
        </w:rPr>
        <w:t>Vulnerable dependencies afect only 1% of all libraries in NuGet.org, but up to 29% in Maven Cen-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tral. Upgrades of vulnerable dependencies usually happen more than 200 days prior to vulnerability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publication. For some libraries, vulnerability publication seems to trigger an immediate dependency 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>upgrade, suggesting the use of automation.</w:t>
      </w:r>
    </w:p>
    <w:p>
      <w:pPr>
        <w:autoSpaceDN w:val="0"/>
        <w:autoSpaceDE w:val="0"/>
        <w:widowControl/>
        <w:spacing w:line="238" w:lineRule="exact" w:before="298" w:after="0"/>
        <w:ind w:left="248" w:right="174" w:firstLine="0"/>
        <w:jc w:val="both"/>
      </w:pPr>
      <w:r>
        <w:rPr>
          <w:rFonts w:ascii="LinBiolinumTBO" w:hAnsi="LinBiolinumTBO" w:eastAsia="LinBiolinumTBO"/>
          <w:b/>
          <w:i w:val="0"/>
          <w:color w:val="000000"/>
          <w:sz w:val="20"/>
        </w:rPr>
        <w:t>RQ4: Do developers adhere to published security advisories?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Once published, a vulnerability and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artifacts afected by it are publicly accessible by any software developer. We inspect whether or not developers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adhere to those public security advisories. In order to do so, we calculate the number of artifacts that use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vulnerable dependency but were released after the vulnerability’s publication.</w:t>
      </w:r>
    </w:p>
    <w:p>
      <w:pPr>
        <w:autoSpaceDN w:val="0"/>
        <w:tabs>
          <w:tab w:pos="458" w:val="left"/>
        </w:tabs>
        <w:autoSpaceDE w:val="0"/>
        <w:widowControl/>
        <w:spacing w:line="166" w:lineRule="exact" w:before="196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MATCH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(v:Vulnerability) -[:AFFECTS|REFERENCES *2]-&gt;(: Artifact) &lt;-[:DEPENDS_ON ]-(l1:Artifact)</w:t>
      </w:r>
    </w:p>
    <w:p>
      <w:pPr>
        <w:autoSpaceDN w:val="0"/>
        <w:tabs>
          <w:tab w:pos="458" w:val="left"/>
        </w:tabs>
        <w:autoSpaceDE w:val="0"/>
        <w:widowControl/>
        <w:spacing w:line="166" w:lineRule="exact" w:before="54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2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WITH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v.PublishedAt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publication , l1.UniqueId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artifact , l1.releaseDate</w:t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 xml:space="preserve"> AS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release</w:t>
      </w:r>
    </w:p>
    <w:p>
      <w:pPr>
        <w:autoSpaceDN w:val="0"/>
        <w:tabs>
          <w:tab w:pos="458" w:val="left"/>
        </w:tabs>
        <w:autoSpaceDE w:val="0"/>
        <w:widowControl/>
        <w:spacing w:line="166" w:lineRule="exact" w:before="54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3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WHERE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release &gt; publication</w:t>
      </w:r>
    </w:p>
    <w:p>
      <w:pPr>
        <w:autoSpaceDN w:val="0"/>
        <w:tabs>
          <w:tab w:pos="458" w:val="left"/>
        </w:tabs>
        <w:autoSpaceDE w:val="0"/>
        <w:widowControl/>
        <w:spacing w:line="166" w:lineRule="exact" w:before="52" w:after="0"/>
        <w:ind w:left="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4 </w:t>
      </w:r>
      <w:r>
        <w:tab/>
      </w:r>
      <w:r>
        <w:rPr>
          <w:rFonts w:ascii="Inconsolata" w:hAnsi="Inconsolata" w:eastAsia="Inconsolata"/>
          <w:b w:val="0"/>
          <w:i w:val="0"/>
          <w:color w:val="0000FF"/>
          <w:sz w:val="16"/>
        </w:rPr>
        <w:t>RETURN DISTINCT</w:t>
      </w:r>
      <w:r>
        <w:rPr>
          <w:rFonts w:ascii="Inconsolata" w:hAnsi="Inconsolata" w:eastAsia="Inconsolata"/>
          <w:b w:val="0"/>
          <w:i w:val="0"/>
          <w:color w:val="000000"/>
          <w:sz w:val="16"/>
        </w:rPr>
        <w:t xml:space="preserve"> artifact , publication , release;</w:t>
      </w:r>
    </w:p>
    <w:p>
      <w:pPr>
        <w:autoSpaceDN w:val="0"/>
        <w:autoSpaceDE w:val="0"/>
        <w:widowControl/>
        <w:spacing w:line="186" w:lineRule="exact" w:before="142" w:after="0"/>
        <w:ind w:left="0" w:right="2740" w:firstLine="0"/>
        <w:jc w:val="right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Listing 3. Cypher query used to obtain data for RQ4</w:t>
      </w:r>
    </w:p>
    <w:p>
      <w:pPr>
        <w:autoSpaceDN w:val="0"/>
        <w:autoSpaceDE w:val="0"/>
        <w:widowControl/>
        <w:spacing w:line="244" w:lineRule="exact" w:before="222" w:after="0"/>
        <w:ind w:left="24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each such artifact, we compute the number of vulnerable dependencies, for which the respective vulnera-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bility had already been published at the time of artifact release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V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Furthermore, for each artifact we calculate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minimum duration for which those vulnerabilities have been publicly accessible at that time in seconds,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which we call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. We collect the raw data for this analysis by executing the Cypher query presented in Listing 3.</w:t>
      </w:r>
    </w:p>
    <w:p>
      <w:pPr>
        <w:autoSpaceDN w:val="0"/>
        <w:autoSpaceDE w:val="0"/>
        <w:widowControl/>
        <w:spacing w:line="166" w:lineRule="exact" w:before="30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8" w:right="1440" w:bottom="1136" w:left="1360" w:header="720" w:footer="720" w:gutter="0"/>
          <w:cols w:space="720" w:num="1" w:equalWidth="0"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1651000</wp:posOffset>
            </wp:positionV>
            <wp:extent cx="4953000" cy="56134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13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34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1:18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102" w:after="0"/>
              <w:ind w:left="0" w:right="152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 Central</w:t>
            </w:r>
          </w:p>
        </w:tc>
      </w:tr>
      <w:tr>
        <w:trPr>
          <w:trHeight w:hRule="exact" w:val="98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18" w:after="0"/>
              <w:ind w:left="6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Amount of total values in interval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24" w:after="0"/>
              <w:ind w:left="5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40%</w:t>
            </w:r>
          </w:p>
          <w:p>
            <w:pPr>
              <w:autoSpaceDN w:val="0"/>
              <w:autoSpaceDE w:val="0"/>
              <w:widowControl/>
              <w:spacing w:line="208" w:lineRule="exact" w:before="586" w:after="0"/>
              <w:ind w:left="5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20%</w:t>
            </w:r>
          </w:p>
          <w:p>
            <w:pPr>
              <w:autoSpaceDN w:val="0"/>
              <w:autoSpaceDE w:val="0"/>
              <w:widowControl/>
              <w:spacing w:line="208" w:lineRule="exact" w:before="586" w:after="0"/>
              <w:ind w:left="15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0%</w:t>
            </w:r>
          </w:p>
        </w:tc>
        <w:tc>
          <w:tcPr>
            <w:tcW w:type="dxa" w:w="187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188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NuGet.org</w:t>
            </w:r>
          </w:p>
        </w:tc>
      </w:tr>
      <w:tr>
        <w:trPr>
          <w:trHeight w:hRule="exact" w:val="1804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158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 Registry</w:t>
            </w:r>
          </w:p>
        </w:tc>
      </w:tr>
    </w:tbl>
    <w:p>
      <w:pPr>
        <w:autoSpaceDN w:val="0"/>
        <w:autoSpaceDE w:val="0"/>
        <w:widowControl/>
        <w:spacing w:line="250" w:lineRule="exact" w:before="420" w:after="49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11. Distribution of durations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δ</w:t>
      </w:r>
      <w:r>
        <w:rPr>
          <w:w w:val="96.96933110555013"/>
          <w:rFonts w:ascii="LinBiolinumT" w:hAnsi="LinBiolinumT" w:eastAsia="LinBiolinumT"/>
          <w:b w:val="0"/>
          <w:i w:val="0"/>
          <w:color w:val="000000"/>
          <w:sz w:val="15"/>
        </w:rPr>
        <w:t>PR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in months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96"/>
        </w:trPr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98" w:after="0"/>
              <w:ind w:left="0" w:right="298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Repository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9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# Artifacts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9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Relative # Artifacts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n</w:t>
            </w:r>
            <w:r>
              <w:rPr>
                <w:w w:val="96.96933110555013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V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60" w:after="0"/>
              <w:ind w:left="114" w:right="0" w:firstLine="0"/>
              <w:jc w:val="left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E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[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δ</w:t>
            </w:r>
            <w:r>
              <w:rPr>
                <w:w w:val="96.96933110555013"/>
                <w:rFonts w:ascii="LinLibertineTB" w:hAnsi="LinLibertineTB" w:eastAsia="LinLibertineTB"/>
                <w:b/>
                <w:i w:val="0"/>
                <w:color w:val="000000"/>
                <w:sz w:val="15"/>
              </w:rPr>
              <w:t>PR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]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 in Days</w:t>
            </w:r>
          </w:p>
        </w:tc>
      </w:tr>
      <w:tr>
        <w:trPr>
          <w:trHeight w:hRule="exact" w:val="56"/>
        </w:trPr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0" w:right="8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Maven Central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807,200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15,46%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3.3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12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470</w:t>
            </w:r>
          </w:p>
        </w:tc>
      </w:tr>
      <w:tr>
        <w:trPr>
          <w:trHeight w:hRule="exact" w:val="260"/>
        </w:trPr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44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NuGet.org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15,119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0.50%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1.3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12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155</w:t>
            </w:r>
          </w:p>
        </w:tc>
      </w:tr>
      <w:tr>
        <w:trPr>
          <w:trHeight w:hRule="exact" w:val="258"/>
        </w:trPr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15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NPM Registry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2,203,639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16.25%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2.8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121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431</w:t>
            </w:r>
          </w:p>
        </w:tc>
      </w:tr>
    </w:tbl>
    <w:p>
      <w:pPr>
        <w:autoSpaceDN w:val="0"/>
        <w:autoSpaceDE w:val="0"/>
        <w:widowControl/>
        <w:spacing w:line="186" w:lineRule="exact" w:before="32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5. Results of RQ4 per repository</w:t>
      </w:r>
    </w:p>
    <w:p>
      <w:pPr>
        <w:autoSpaceDN w:val="0"/>
        <w:autoSpaceDE w:val="0"/>
        <w:widowControl/>
        <w:spacing w:line="238" w:lineRule="exact" w:before="76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 to RQ3, Table 5 presents the total and the relative number of afected artifacts per repository. Fur-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thermore, the table holds the average values for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V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. Here, we observe signiicant diferences between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repositories. While in NuGet.org only 0.5% of all artifacts are afected, in the NPM Registry this value is more than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32 times higher. In addition to that, afected artifacts in NuGet.org on average have 1.3 vulnerable dependencies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published advisories, compared to 3.3 and 2.8 vulnerable dependencies per artifact in Maven Central and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NPM Registry, respectively.</w:t>
      </w:r>
    </w:p>
    <w:p>
      <w:pPr>
        <w:autoSpaceDN w:val="0"/>
        <w:autoSpaceDE w:val="0"/>
        <w:widowControl/>
        <w:spacing w:line="250" w:lineRule="exact" w:before="0" w:after="0"/>
        <w:ind w:left="166" w:right="152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average duration between vulnerability publication and artifact release ranges from 155 to 470 days,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which implies that some maintainers use dependencies known to be vulnerable for well over a year. We further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investigate the distribution of those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values in Figure 11.</w:t>
      </w:r>
    </w:p>
    <w:p>
      <w:pPr>
        <w:autoSpaceDN w:val="0"/>
        <w:autoSpaceDE w:val="0"/>
        <w:widowControl/>
        <w:spacing w:line="234" w:lineRule="exact" w:before="0" w:after="134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distribution of values in the NuGet.org repository most closely matches our general expectations. Here,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more than 90% of all artifacts have been released no longer than one year after vulnerability publication, and only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0.8% after more than two years. In contrast to that, over 20% of all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δ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PR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values for both Maven Central and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NPM Registry are greater than two years. Compared to NuGet.org, the values for both repositories are distributed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more evenly. This may indicate that in NuGet.org, compared to the other two repositories, security advisories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have a more direct inluence on dependency upgrades.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.0000000000001" w:type="dxa"/>
      </w:tblPr>
      <w:tblGrid>
        <w:gridCol w:w="9360"/>
      </w:tblGrid>
      <w:tr>
        <w:trPr>
          <w:trHeight w:hRule="exact" w:val="1034"/>
        </w:trPr>
        <w:tc>
          <w:tcPr>
            <w:tcW w:type="dxa" w:w="9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" w:after="0"/>
              <w:ind w:left="6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In the NPM Registry, 16.25% of all artifacts are released with dependencies for which public security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advisories are available. This phenomenon also afects Maven Central (15.46%) but has a lesser im-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 xml:space="preserve">pact on NuGet.org (0.5%). On average, afected artifacts have between 1.3 (NuGet.org) and 3.3 (Maven </w:t>
            </w: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Central) such dependencies, which advisories being published for up to 470 days (Maven Central).</w:t>
            </w:r>
          </w:p>
        </w:tc>
      </w:tr>
    </w:tbl>
    <w:p>
      <w:pPr>
        <w:autoSpaceDN w:val="0"/>
        <w:autoSpaceDE w:val="0"/>
        <w:widowControl/>
        <w:spacing w:line="166" w:lineRule="exact" w:before="406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72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04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04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DISCUSSION</w:t>
            </w:r>
          </w:p>
        </w:tc>
        <w:tc>
          <w:tcPr>
            <w:tcW w:type="dxa" w:w="4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1:19</w:t>
            </w:r>
          </w:p>
        </w:tc>
      </w:tr>
    </w:tbl>
    <w:p>
      <w:pPr>
        <w:autoSpaceDN w:val="0"/>
        <w:autoSpaceDE w:val="0"/>
        <w:widowControl/>
        <w:spacing w:line="238" w:lineRule="exact" w:before="14" w:after="0"/>
        <w:ind w:left="144" w:right="144" w:firstLine="0"/>
        <w:jc w:val="center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discuss our analysis results and their implications. We start by pointing out security risks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result from our indings and go on to derive possible mitigation strategies that may improve the current situation.</w:t>
      </w:r>
    </w:p>
    <w:p>
      <w:pPr>
        <w:autoSpaceDN w:val="0"/>
        <w:tabs>
          <w:tab w:pos="644" w:val="left"/>
        </w:tabs>
        <w:autoSpaceDE w:val="0"/>
        <w:widowControl/>
        <w:spacing w:line="226" w:lineRule="exact" w:before="21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Security Risks</w:t>
      </w:r>
    </w:p>
    <w:p>
      <w:pPr>
        <w:autoSpaceDN w:val="0"/>
        <w:autoSpaceDE w:val="0"/>
        <w:widowControl/>
        <w:spacing w:line="240" w:lineRule="exact" w:before="54" w:after="258"/>
        <w:ind w:left="164" w:right="144" w:firstLine="1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Based on our analysis results presented in Section 5.3, we identify a set of potential threats for software security.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We present this set, which we name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in Table 6. In the following paragraphs, we highlight the core issues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each member of the set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 and present empirical evidence found in the analysis results.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46"/>
        </w:trPr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Id</w:t>
            </w:r>
          </w:p>
        </w:tc>
        <w:tc>
          <w:tcPr>
            <w:tcW w:type="dxa" w:w="40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15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Maven Central</w:t>
            </w:r>
          </w:p>
        </w:tc>
        <w:tc>
          <w:tcPr>
            <w:tcW w:type="dxa" w:w="14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NPM Registry</w:t>
            </w:r>
          </w:p>
        </w:tc>
        <w:tc>
          <w:tcPr>
            <w:tcW w:type="dxa" w:w="11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NuGet.org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48"/>
        </w:trPr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40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Patch Release after Vulnerability Publication</w:t>
            </w:r>
          </w:p>
        </w:tc>
        <w:tc>
          <w:tcPr>
            <w:tcW w:type="dxa" w:w="15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4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1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</w:tr>
      <w:tr>
        <w:trPr>
          <w:trHeight w:hRule="exact" w:val="246"/>
        </w:trPr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40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Excessive Transitive Vulnerability Impact</w:t>
            </w:r>
          </w:p>
        </w:tc>
        <w:tc>
          <w:tcPr>
            <w:tcW w:type="dxa" w:w="15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4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No</w:t>
            </w:r>
          </w:p>
        </w:tc>
        <w:tc>
          <w:tcPr>
            <w:tcW w:type="dxa" w:w="11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No</w:t>
            </w:r>
          </w:p>
        </w:tc>
      </w:tr>
      <w:tr>
        <w:trPr>
          <w:trHeight w:hRule="exact" w:val="248"/>
        </w:trPr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3</w:t>
            </w:r>
          </w:p>
        </w:tc>
        <w:tc>
          <w:tcPr>
            <w:tcW w:type="dxa" w:w="40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Libraries Keep Vulnerable Dependencies</w:t>
            </w:r>
          </w:p>
        </w:tc>
        <w:tc>
          <w:tcPr>
            <w:tcW w:type="dxa" w:w="15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4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1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</w:tr>
      <w:tr>
        <w:trPr>
          <w:trHeight w:hRule="exact" w:val="246"/>
        </w:trPr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</w:t>
            </w:r>
          </w:p>
        </w:tc>
        <w:tc>
          <w:tcPr>
            <w:tcW w:type="dxa" w:w="40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Publication has no Impact on Upgrade Duration</w:t>
            </w:r>
          </w:p>
        </w:tc>
        <w:tc>
          <w:tcPr>
            <w:tcW w:type="dxa" w:w="15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No</w:t>
            </w:r>
          </w:p>
        </w:tc>
        <w:tc>
          <w:tcPr>
            <w:tcW w:type="dxa" w:w="14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No</w:t>
            </w:r>
          </w:p>
        </w:tc>
        <w:tc>
          <w:tcPr>
            <w:tcW w:type="dxa" w:w="11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</w:tr>
      <w:tr>
        <w:trPr>
          <w:trHeight w:hRule="exact" w:val="248"/>
        </w:trPr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5</w:t>
            </w:r>
          </w:p>
        </w:tc>
        <w:tc>
          <w:tcPr>
            <w:tcW w:type="dxa" w:w="40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New Releases have Vulnerable Dependencies</w:t>
            </w:r>
          </w:p>
        </w:tc>
        <w:tc>
          <w:tcPr>
            <w:tcW w:type="dxa" w:w="15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4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Yes</w:t>
            </w:r>
          </w:p>
        </w:tc>
        <w:tc>
          <w:tcPr>
            <w:tcW w:type="dxa" w:w="11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No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6. Set of all threats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T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with repositories they apply to</w:t>
      </w:r>
    </w:p>
    <w:p>
      <w:pPr>
        <w:autoSpaceDN w:val="0"/>
        <w:autoSpaceDE w:val="0"/>
        <w:widowControl/>
        <w:spacing w:line="238" w:lineRule="exact" w:before="548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As part of our analysis for RQ1, we found that while most patches are released before vulnerability publication,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non-negligible amount of over 25% is in fact released afterwards (</w:t>
      </w:r>
      <w:r>
        <w:rPr>
          <w:rFonts w:ascii="txsyb" w:hAnsi="txsyb" w:eastAsia="txsyb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This implies that for a certain period of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time, software libraries were publicly known to be vulnerable, making them a prime target for exploitation.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threat is most pronounced for Maven Central (29%) and the NPM Registry (23%), but also applies to NuGet.org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(13%).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propagation of vulnerabilities along transitive dependency chains leads to an exponentially growing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artifacts potentially afected and makes it increasingly hard to decide whether vulnerabilities apply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a speciic software artifact (</w:t>
      </w:r>
      <w:r>
        <w:rPr>
          <w:rFonts w:ascii="txsyb" w:hAnsi="txsyb" w:eastAsia="txsyb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In our results for RQ2, we found that vulnerability impact chains in Maven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Central are substantially longer than in the other two repositories. This is true both on average (cf. Figure 8)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maximum (cf. Table 3). Furthermore, the amount of Maven artifacts transitively afected by a vulnerability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over 750 times higher than for the NPM Registry, and almost 6,000 times higher than for NuGet.org.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part of our results for RQ3, we found that between 1.16% (NuGet.org) and 28.97% (Maven Central)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repository libraries have at one point been afected by vulnerable direct dependencies. A further classiication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discovered that, out of all afected libraries, between 60% and 66% did not upgrade any of those vulnerable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dependencies at all (cf. Figure 9). As a result, from 0.7% (NuGet.org) up to 17.4% (Maven Central) of all repository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libraries have potentially multiple vulnerable dependencies that have not been upgraded. This fact poses a major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security threat (</w:t>
      </w:r>
      <w:r>
        <w:rPr>
          <w:rFonts w:ascii="txsyb" w:hAnsi="txsyb" w:eastAsia="txsyb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), as consumers of those libraries may not be aware of the vulnerable dependencies, and do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expect the latest release to be vulnerable.</w:t>
      </w:r>
    </w:p>
    <w:p>
      <w:pPr>
        <w:autoSpaceDN w:val="0"/>
        <w:autoSpaceDE w:val="0"/>
        <w:widowControl/>
        <w:spacing w:line="242" w:lineRule="exact" w:before="0" w:after="0"/>
        <w:ind w:left="168" w:right="152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When analyzing the distribution of upgrade durations for RQ3, we found that the publication of a vulnerability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seems to trigger an immediate dependency upgrade for some libraries in Maven Central and the NPM Registry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(cf. Figure 10). This indicates that some library maintainers may be actively monitoring vulnerability publications,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respond if needed. However, we found no evidence for the same kind of behavior in the NuGet.org repository,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meaning that vulnerable dependencies may afect artifacts longer than necessary (</w:t>
      </w:r>
      <w:r>
        <w:rPr>
          <w:rFonts w:ascii="txsyb" w:hAnsi="txsyb" w:eastAsia="txsyb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34" w:lineRule="exact" w:before="0" w:after="0"/>
        <w:ind w:left="166" w:right="168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During the previous analysis for RQ4 we found that some software artifacts use vulnerable dependencies,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which the respective vulnerability has been published before the artifact release. This implies that developers did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either not consult or deliberately ignore public security advisories like the CVE list. As a result, consumers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corresponding repositories can not even rely on new releases of a library to be vulnerability-free, which may</w:t>
      </w:r>
    </w:p>
    <w:p>
      <w:pPr>
        <w:autoSpaceDN w:val="0"/>
        <w:autoSpaceDE w:val="0"/>
        <w:widowControl/>
        <w:spacing w:line="166" w:lineRule="exact" w:before="30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32" w:lineRule="exact" w:before="27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lead to a false sense of security when upgrading dependencies to the latest release (</w:t>
      </w:r>
      <w:r>
        <w:rPr>
          <w:rFonts w:ascii="txsyb" w:hAnsi="txsyb" w:eastAsia="txsyb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According to Table 5,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issue afects artifacts in all three repositories, but is most pronounced for the NPM Registry (16.25%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artifacts) and Maven Central (15.46%), while only afecting 0.5% of all artifacts in NuGet.org.</w:t>
      </w:r>
    </w:p>
    <w:p>
      <w:pPr>
        <w:autoSpaceDN w:val="0"/>
        <w:tabs>
          <w:tab w:pos="644" w:val="left"/>
        </w:tabs>
        <w:autoSpaceDE w:val="0"/>
        <w:widowControl/>
        <w:spacing w:line="226" w:lineRule="exact" w:before="23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Mitigation Strategies</w:t>
      </w:r>
    </w:p>
    <w:p>
      <w:pPr>
        <w:autoSpaceDN w:val="0"/>
        <w:autoSpaceDE w:val="0"/>
        <w:widowControl/>
        <w:spacing w:line="240" w:lineRule="exact" w:before="54" w:after="282"/>
        <w:ind w:left="174" w:right="170" w:hanging="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a inal contribution of our work, in this section, we present a set of mitigation strategies for maintainers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consumers of all three repositories, which aim to mitigate the threats presented in the previous section. Table 7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presents the set of strategies, which we call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, alongside the corresponding threats and the target audience. Most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strategies presented here are well-known in software engineering research. However, here we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justiication for their usefulness, as we link them to threats that we observed based on empirical indings in our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0.0" w:type="dxa"/>
      </w:tblPr>
      <w:tblGrid>
        <w:gridCol w:w="2340"/>
        <w:gridCol w:w="2340"/>
        <w:gridCol w:w="2340"/>
        <w:gridCol w:w="2340"/>
      </w:tblGrid>
      <w:tr>
        <w:trPr>
          <w:trHeight w:hRule="exact" w:val="248"/>
        </w:trPr>
        <w:tc>
          <w:tcPr>
            <w:tcW w:type="dxa" w:w="388"/>
            <w:tcBorders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Id</w:t>
            </w:r>
          </w:p>
        </w:tc>
        <w:tc>
          <w:tcPr>
            <w:tcW w:type="dxa" w:w="40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Name</w:t>
            </w:r>
          </w:p>
        </w:tc>
        <w:tc>
          <w:tcPr>
            <w:tcW w:type="dxa" w:w="9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Threats</w:t>
            </w:r>
          </w:p>
        </w:tc>
        <w:tc>
          <w:tcPr>
            <w:tcW w:type="dxa" w:w="23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9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20"/>
              </w:rPr>
              <w:t>Audience</w:t>
            </w:r>
          </w:p>
        </w:tc>
      </w:tr>
    </w:tbl>
    <w:p>
      <w:pPr>
        <w:autoSpaceDN w:val="0"/>
        <w:autoSpaceDE w:val="0"/>
        <w:widowControl/>
        <w:spacing w:line="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10.0" w:type="dxa"/>
      </w:tblPr>
      <w:tblGrid>
        <w:gridCol w:w="2340"/>
        <w:gridCol w:w="2340"/>
        <w:gridCol w:w="2340"/>
        <w:gridCol w:w="2340"/>
      </w:tblGrid>
      <w:tr>
        <w:trPr>
          <w:trHeight w:hRule="exact" w:val="248"/>
        </w:trPr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40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Closely Monitor Vulnerability Publications</w:t>
            </w:r>
          </w:p>
        </w:tc>
        <w:tc>
          <w:tcPr>
            <w:tcW w:type="dxa" w:w="9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</w:t>
            </w:r>
          </w:p>
        </w:tc>
        <w:tc>
          <w:tcPr>
            <w:tcW w:type="dxa" w:w="23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Maintainers</w:t>
            </w:r>
          </w:p>
        </w:tc>
      </w:tr>
      <w:tr>
        <w:trPr>
          <w:trHeight w:hRule="exact" w:val="248"/>
        </w:trPr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40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Employ Bug Bounty Programs</w:t>
            </w:r>
          </w:p>
        </w:tc>
        <w:tc>
          <w:tcPr>
            <w:tcW w:type="dxa" w:w="9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23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Maintainers</w:t>
            </w:r>
          </w:p>
        </w:tc>
      </w:tr>
      <w:tr>
        <w:trPr>
          <w:trHeight w:hRule="exact" w:val="246"/>
        </w:trPr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3</w:t>
            </w:r>
          </w:p>
        </w:tc>
        <w:tc>
          <w:tcPr>
            <w:tcW w:type="dxa" w:w="40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Use Tools for Dependency Monitoring</w:t>
            </w:r>
          </w:p>
        </w:tc>
        <w:tc>
          <w:tcPr>
            <w:tcW w:type="dxa" w:w="9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3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 xml:space="preserve"> 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5</w:t>
            </w:r>
          </w:p>
        </w:tc>
        <w:tc>
          <w:tcPr>
            <w:tcW w:type="dxa" w:w="23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Maintainers &amp; Consumers</w:t>
            </w:r>
          </w:p>
        </w:tc>
      </w:tr>
      <w:tr>
        <w:trPr>
          <w:trHeight w:hRule="exact" w:val="248"/>
        </w:trPr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4</w:t>
            </w:r>
          </w:p>
        </w:tc>
        <w:tc>
          <w:tcPr>
            <w:tcW w:type="dxa" w:w="40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Check for Vulnerable Dependencies on Release</w:t>
            </w:r>
          </w:p>
        </w:tc>
        <w:tc>
          <w:tcPr>
            <w:tcW w:type="dxa" w:w="9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5</w:t>
            </w:r>
          </w:p>
        </w:tc>
        <w:tc>
          <w:tcPr>
            <w:tcW w:type="dxa" w:w="23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Maintainers</w:t>
            </w:r>
          </w:p>
        </w:tc>
      </w:tr>
      <w:tr>
        <w:trPr>
          <w:trHeight w:hRule="exact" w:val="246"/>
        </w:trPr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S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5</w:t>
            </w:r>
          </w:p>
        </w:tc>
        <w:tc>
          <w:tcPr>
            <w:tcW w:type="dxa" w:w="40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9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Minimize the Number of Dependencies</w:t>
            </w:r>
          </w:p>
        </w:tc>
        <w:tc>
          <w:tcPr>
            <w:tcW w:type="dxa" w:w="9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0" w:after="0"/>
              <w:ind w:left="0" w:right="0" w:firstLine="0"/>
              <w:jc w:val="center"/>
            </w:pPr>
            <w:r>
              <w:rPr>
                <w:rFonts w:ascii="txsyb" w:hAnsi="txsyb" w:eastAsia="txsyb"/>
                <w:b w:val="0"/>
                <w:i w:val="0"/>
                <w:color w:val="000000"/>
                <w:sz w:val="20"/>
              </w:rPr>
              <w:t>T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23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Maintainer &amp; Consumers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7. Set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S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 xml:space="preserve"> containing mitigation strategies derived from</w:t>
      </w:r>
      <w:r>
        <w:rPr>
          <w:rFonts w:ascii="txsyb" w:hAnsi="txsyb" w:eastAsia="txsyb"/>
          <w:b w:val="0"/>
          <w:i w:val="0"/>
          <w:color w:val="000000"/>
          <w:sz w:val="18"/>
        </w:rPr>
        <w:t xml:space="preserve"> T</w:t>
      </w:r>
    </w:p>
    <w:p>
      <w:pPr>
        <w:autoSpaceDN w:val="0"/>
        <w:autoSpaceDE w:val="0"/>
        <w:widowControl/>
        <w:spacing w:line="236" w:lineRule="exact" w:before="65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Threat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refers to a substantial amount of library maintainers releasing patches a long time after the cor-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responding vulnerability has been published. Furthermore,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points out that maintainers of libraries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vulnerable dependencies do not act upon the vulnerability’s publication. As a result, there are artifacts that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subject to publicly known vulnerabilities without a patch being available in all three repositories. An easy way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mitigating this risk is to closely and actively monitor the publication of vulnerabilities (</w:t>
      </w:r>
      <w:r>
        <w:rPr>
          <w:rFonts w:ascii="txsyb" w:hAnsi="txsyb" w:eastAsia="txsyb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), so that maintainers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immediately upgrade the respective dependency or start implementing a patch, thus reducing the time for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which an artifact is vulnerable. There are multiple ways to automatically monitor new vulnerability publications.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NVD provides an RSS feed on the latest vulnerabilities that have been analyzed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and the MITRE corporation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does the same on their Twitter feed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15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. Developers may also be informed about vulnerabilities in dependencies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use of tools for dependency monitoring, which are regularly updated with the latest set of vulnerabilities.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Examples include the services provided by Snyk, as well as the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npm audit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command.</w:t>
      </w:r>
    </w:p>
    <w:p>
      <w:pPr>
        <w:autoSpaceDN w:val="0"/>
        <w:autoSpaceDE w:val="0"/>
        <w:widowControl/>
        <w:spacing w:line="236" w:lineRule="exact" w:before="36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While adhering to strategy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reduces the time of exposure to published vulnerabilities signiicantly, it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still likely to take library maintainers a couple of days or weeks to develop a patch and release it. In an efort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further reduce this time, and therefore minimize the risk imposed by threat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maintainers may encourage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members of the open-source community to ind and report security vulnerabilities on their own, thus increasing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chances of discovering vulnerabilities before their oicial publication (</w:t>
      </w:r>
      <w:r>
        <w:rPr>
          <w:rFonts w:ascii="txsyb" w:hAnsi="txsyb" w:eastAsia="txsyb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). Such initiatives are often called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Bug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Bounty Programs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are already ofered by a variety of corporations and institutions, including Microsoft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the U.S. Pentagon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While for large corporations these programs often include incentives like monetary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rewards, smaller groups of library maintainers may still be able to ofer some sort of reward, which may even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 honorable mention in the library description. It must be noted that both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can only be applied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libraries that are still being actively maintained, as opposed to libraries that have been discontinued.</w:t>
      </w:r>
    </w:p>
    <w:p>
      <w:pPr>
        <w:autoSpaceDN w:val="0"/>
        <w:autoSpaceDE w:val="0"/>
        <w:widowControl/>
        <w:spacing w:line="200" w:lineRule="exact" w:before="240" w:after="0"/>
        <w:ind w:left="172" w:right="6768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14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nvd.nist.gov/vuln/data-feeds#RSS </w:t>
      </w:r>
      <w:r>
        <w:br/>
      </w: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15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twitter.com/CVEnew</w:t>
      </w:r>
    </w:p>
    <w:p>
      <w:pPr>
        <w:autoSpaceDN w:val="0"/>
        <w:autoSpaceDE w:val="0"/>
        <w:widowControl/>
        <w:spacing w:line="166" w:lineRule="exact" w:before="32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4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4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1:21</w:t>
            </w:r>
          </w:p>
        </w:tc>
      </w:tr>
    </w:tbl>
    <w:p>
      <w:pPr>
        <w:autoSpaceDN w:val="0"/>
        <w:autoSpaceDE w:val="0"/>
        <w:widowControl/>
        <w:spacing w:line="236" w:lineRule="exact" w:before="29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Strategy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already suggested the usage of automated tools for dependency monitoring, which helps library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maintainers monitor vulnerability publications. In fact, this strategy also applies to regular repository consumers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has the potential to mitigate several risks identiied in the previous section (</w:t>
      </w:r>
      <w:r>
        <w:rPr>
          <w:rFonts w:ascii="txsyb" w:hAnsi="txsyb" w:eastAsia="txsyb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As those tools can often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integrated into a CI worklow, they inform library maintainers about vulnerable dependencies on every commit,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making it efectively impossible to not be aware of their existence. Therefore, the risks imposed by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</w:t>
      </w:r>
      <w:r>
        <w:rPr>
          <w:rFonts w:ascii="txsyb" w:hAnsi="txsyb" w:eastAsia="txsyb"/>
          <w:b w:val="0"/>
          <w:i w:val="0"/>
          <w:color w:val="000000"/>
          <w:sz w:val="20"/>
        </w:rPr>
        <w:t>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are reduced substantially. Furthermore, the usage of automated tools for detecting vulnerable dependencies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may result in repository consumers preferring more secure libraries for their projects. The more consumers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show an obvious interest in security, the more likely library developers are to shift their development focus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security-related aspects.</w:t>
      </w:r>
    </w:p>
    <w:p>
      <w:pPr>
        <w:autoSpaceDN w:val="0"/>
        <w:autoSpaceDE w:val="0"/>
        <w:widowControl/>
        <w:spacing w:line="240" w:lineRule="exact" w:before="0" w:after="0"/>
        <w:ind w:left="168" w:right="0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Due to the larger amount of artifacts being released despite their dependencies being afected by published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vulnerabilities, as implied by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 strategy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encourages library maintainers to inspect all their library’s dependen-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cies on every release. By establishing a deined process of doing so, the risk of unintentionally using vulnerable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dependencies is efectively eliminated. Ideally, this process is automated by making use of similar tools to the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ones discussed for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3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. While maintainers may still intentionally decide to keep vulnerabilities for a given release,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guideline assures that at least one developer has evaluated the resulting risk and decided that it does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have a critical impact on library consumers.</w:t>
      </w:r>
    </w:p>
    <w:p>
      <w:pPr>
        <w:autoSpaceDN w:val="0"/>
        <w:autoSpaceDE w:val="0"/>
        <w:widowControl/>
        <w:spacing w:line="238" w:lineRule="exact" w:before="34" w:after="0"/>
        <w:ind w:left="16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impact of threat</w:t>
      </w:r>
      <w:r>
        <w:rPr>
          <w:rFonts w:ascii="txsyb" w:hAnsi="txsyb" w:eastAsia="txsyb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is directly correlated to the density of the corresponding dependency graph,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therefore to the number of dependencies per artifact. Consequently, the impact may be reduced by reducing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average number of dependencies for each software library (</w:t>
      </w:r>
      <w:r>
        <w:rPr>
          <w:rFonts w:ascii="txsyb" w:hAnsi="txsyb" w:eastAsia="txsyb"/>
          <w:b w:val="0"/>
          <w:i w:val="0"/>
          <w:color w:val="000000"/>
          <w:sz w:val="20"/>
        </w:rPr>
        <w:t>S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). A similar argument can be made for repository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consumers, where the number of potential security threats is directly linked to the number of project dependencies.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While it is a rather simple task to remove redundant dependencies from an application or library, replacing those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are actually used can only be achieved by implementing the desired functionality from scratch. However,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would be in stark contrast to the concept of software reuse, which has been proven to be efective. Nevertheless,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especially in the NPM Registry, some of the libraries are small enough to be replaced by a single function deinition.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Examples include libraries like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array-first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, which provides a single function for returning the irst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 elements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of an array, or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to-capital-case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which capitalizes a string value. These examples illustrate that in some cases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trade-of between software reuse and potential security risks must be considered. This has also been observed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2020 study on the use of trivial packages by Abdalkareem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where the authors observe that trivial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packages make up between 10.5% and 16% of PyPI and the Npm Registry, despite the fact that up to 72% of such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packages to not incorporate any tests. Similarly, Soto-Valero et al. ind that many dependencies in public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artifacts are actually unused, and present a tool called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DepClean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to tackle this issue [41].</w:t>
      </w:r>
    </w:p>
    <w:p>
      <w:pPr>
        <w:autoSpaceDN w:val="0"/>
        <w:tabs>
          <w:tab w:pos="494" w:val="left"/>
        </w:tabs>
        <w:autoSpaceDE w:val="0"/>
        <w:widowControl/>
        <w:spacing w:line="224" w:lineRule="exact" w:before="25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7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THREATS TO VALIDITY</w:t>
      </w:r>
    </w:p>
    <w:p>
      <w:pPr>
        <w:autoSpaceDN w:val="0"/>
        <w:autoSpaceDE w:val="0"/>
        <w:widowControl/>
        <w:spacing w:line="238" w:lineRule="exact" w:before="5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present possible threats to the validity of our work, and how we chose to mitigate them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much as possible.</w:t>
      </w:r>
    </w:p>
    <w:p>
      <w:pPr>
        <w:autoSpaceDN w:val="0"/>
        <w:autoSpaceDE w:val="0"/>
        <w:widowControl/>
        <w:spacing w:line="238" w:lineRule="exact" w:before="164" w:after="0"/>
        <w:ind w:left="166" w:right="174" w:firstLine="0"/>
        <w:jc w:val="both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Construct Validity.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our analyses for RQ2, RQ3, and RQ4, we investigate metrics that involve vulnerabilities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afecting (transitive) dependencies of a software artifact. It must be noted, that the mere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presence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of such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vulnerable dependency does not imply that the vulnerability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applies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to the artifact. In fact, researchers associated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with the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 xml:space="preserve"> FASTEN Project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 propose to use method-level call graph analysis to decide whether or not vulnerabilities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dependencies actually apply to a project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They argue that analyzing vulnerabilities on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package-level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leads to false positives, and therefore wastes development resources, which is also supported by the indings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an empirical study conducted by Zapata et al. in 2018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the indings of this project are still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preliminary and have yet to be implemented for entire software ecosystems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On the other hand, sometimes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 in dependencies can be exploited simply because the corresponding code is on the classpath,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shown by Lawrence and Frohof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As our analysis handles vulnerabilities on the package level, we note that</w:t>
      </w:r>
    </w:p>
    <w:p>
      <w:pPr>
        <w:autoSpaceDN w:val="0"/>
        <w:autoSpaceDE w:val="0"/>
        <w:widowControl/>
        <w:spacing w:line="166" w:lineRule="exact" w:before="32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our indings generally have to be considered an overapproximation, which may be reined by incorporating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precise call graph information for each artifact in the future.</w:t>
      </w:r>
    </w:p>
    <w:p>
      <w:pPr>
        <w:autoSpaceDN w:val="0"/>
        <w:autoSpaceDE w:val="0"/>
        <w:widowControl/>
        <w:spacing w:line="238" w:lineRule="exact" w:before="146" w:after="0"/>
        <w:ind w:left="174" w:right="0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Internal Validity.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mentioned in Section 5.2, our algorithm for dependency resolving supports two modes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execution, yielding either all valid targets (overapproximation) or the most recent valid target (underapproxi-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mation). As package managers only refrain from using the most recent target in case of version conlicts, our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analysis results have been obtained using the latter. Therefore, there might be some dependency paths that have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been counted towards our results for RQ2, RQ3, and RQ4.</w:t>
      </w:r>
    </w:p>
    <w:p>
      <w:pPr>
        <w:autoSpaceDN w:val="0"/>
        <w:autoSpaceDE w:val="0"/>
        <w:widowControl/>
        <w:spacing w:line="238" w:lineRule="exact" w:before="0" w:after="0"/>
        <w:ind w:left="168" w:right="170" w:firstLine="200"/>
        <w:jc w:val="both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For the threats presented in Section 7 we often assume that not being aware of vulnerabilities in dependencies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a major reason for not performing an upgrade or not releasing a patch. However, there may in fact be other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reasons involved in this decision, for example, libraries may not prioritize ixes, or maintainers may decide that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 do not apply to their speciic usage scenario. Further investigations need to be performed in order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identify those reasons and their relevance in this context.</w:t>
      </w:r>
    </w:p>
    <w:p>
      <w:pPr>
        <w:autoSpaceDN w:val="0"/>
        <w:autoSpaceDE w:val="0"/>
        <w:widowControl/>
        <w:spacing w:line="238" w:lineRule="exact" w:before="2" w:after="0"/>
        <w:ind w:left="168" w:right="168" w:firstLine="20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rely on the correctness of the Synk dataset we use throughout the analysis. As the dataset is manually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veriied in a structured process and includes oicial data from the NVD, we think we can safely assume the data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be correct.</w:t>
      </w:r>
    </w:p>
    <w:p>
      <w:pPr>
        <w:autoSpaceDN w:val="0"/>
        <w:autoSpaceDE w:val="0"/>
        <w:widowControl/>
        <w:spacing w:line="238" w:lineRule="exact" w:before="14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External Validity.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We used vulnerability data that is the intellectual property of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Snyk Ltd.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and can, consequently,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 be published. Therefore, others can not reproduce our analysis, as we are only able to make our tools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generating dependency graphs publicly available. We chose this approach as the data provided by Snyk both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contains more vulnerabilities than sources like the NVD, and is manually veriied to be correct. We strive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include open vulnerability sources and repeat our analysis in the future. In the meantime, interested researchs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may of course obtain the vulnerability data through the same oicial channels we used.</w:t>
      </w:r>
    </w:p>
    <w:p>
      <w:pPr>
        <w:autoSpaceDN w:val="0"/>
        <w:autoSpaceDE w:val="0"/>
        <w:widowControl/>
        <w:spacing w:line="238" w:lineRule="exact" w:before="146" w:after="0"/>
        <w:ind w:left="174" w:right="168" w:firstLine="0"/>
        <w:jc w:val="both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>Conclusion Validity.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As many of our analysis metrics imply, artifacts from the NuGet.org repository seem to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somehow less afected by vulnerabilities compared to the NPM Registry and Maven Central. While this may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an indication of better processes and awareness by the respective developers, it may also be a result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size and popularity of the repository. Out of the three repositories observed in this work, NuGet.org has both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least amount of artifacts and the fewest downloads per week, which may lead to fewer vulnerabilities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introduced, and fewer vulnerabilities being discovered. While we normalized our measures to include the size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repositories where applicable, further analysis is necessary to identify the efects of repository size onto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behavior we observed.</w:t>
      </w:r>
    </w:p>
    <w:p>
      <w:pPr>
        <w:autoSpaceDN w:val="0"/>
        <w:tabs>
          <w:tab w:pos="494" w:val="left"/>
        </w:tabs>
        <w:autoSpaceDE w:val="0"/>
        <w:widowControl/>
        <w:spacing w:line="226" w:lineRule="exact" w:before="24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8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RELATED WORK</w:t>
      </w:r>
    </w:p>
    <w:p>
      <w:pPr>
        <w:autoSpaceDN w:val="0"/>
        <w:autoSpaceDE w:val="0"/>
        <w:widowControl/>
        <w:spacing w:line="238" w:lineRule="exact" w:before="56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Dependencies between software artifacts for certain software systems have been the topic of a variety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publications. Furthermore, many researchers have analyzed the impact and lifecycle of software vulnerabilities,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as well as possible mitigation strategies. In this section, we present the most prominent examples of related work.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Benelallam et al. present a snapshot of the Maven Central dependency graph as of September 6, 2018.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authors implemented a tool called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Maven Miner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which processes artifacts from the Maven Central repository,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calculates their dependencies and creates a graph representation that is stored in a Neo4J graph database. For our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work, we initially used the Maven Miner to gather an up-to-date version of the dependency graph, but failed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do so in time (cf. Section 4.3).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2018, Decan et al. performed an empirical study on the impact of software vulnerabilities in the NPM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Registry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Based on 700 vulnerabilities, which the authors manually gathered from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Snyk.io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they computed a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set of afected package releases using the online service at</w:t>
      </w:r>
      <w:r>
        <w:rPr>
          <w:w w:val="98.82577896118164"/>
          <w:rFonts w:ascii="LinLibertineTI" w:hAnsi="LinLibertineTI" w:eastAsia="LinLibertineTI"/>
          <w:b w:val="0"/>
          <w:i w:val="0"/>
          <w:color w:val="000000"/>
          <w:sz w:val="20"/>
        </w:rPr>
        <w:t xml:space="preserve"> libraries.io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. Among other things, the authors observed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ever-growing number of vulnerabilities and afected package releases over time, with more pronounced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rates of growth for medium and high severity vulnerabilities. A similar observation is made for commercial</w:t>
      </w:r>
    </w:p>
    <w:p>
      <w:pPr>
        <w:autoSpaceDN w:val="0"/>
        <w:autoSpaceDE w:val="0"/>
        <w:widowControl/>
        <w:spacing w:line="166" w:lineRule="exact" w:before="31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2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4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1:23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68" w:right="144" w:firstLine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applications by Mike Pittenger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Decan et al. also analyzed the time it takes package maintainers to discover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vulnerabilities, and report that the majority was found in packages older than 28 months. Similar to this work,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authors found that most vulnerabilities are patched before their publication, but there "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is still a non-negligible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proportion of vulnerabilities that take a long time to be ixed.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" [10].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Bavota et al. performed an in-depth study on 147 Java projects of the Apache ecosystem in 2015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in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they analyze how and why the dependencies between projects are upgraded, left unchanged, or dropped.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authors evaluate the inluence of the client project size, the number of LOC changed in the library project,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bugs ixed, and other factors on the upgrade behavior. They ind that substantial changes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library project, especially bug ixes, are adopted earliest, which matched the authors’ observations in developer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communications (eg. via mailing lists). Similarly, a 2021 empirical study conducted by Chinthanet et al. analyzes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adoption of vulnerability-related ixes in NPM projects on GitHub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]. By inspection of 231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package-side ixing 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releases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the authors ind that such releases consist of up to 86% code unrelated to the actual ix, and that quick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availability of ixes does not ensure a fast adoption process by clients. Nevertheless, a 2019 study by Gkortzis 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al. inds evidence for an inverse correlation between code reuse and the number of vulnerabilities, which seems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indicate that ł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>[...] a high reuse ratio is associated with a lower vulnerability density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ł [16].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 2017 study by Kula et al. analyzes the dependency upgrade behavior of software developers in detail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 empirical study, the authors collected 4,600 Java projects that are using Maven dependencies from GitHub. They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found that while developers heavily rely on third-party libraries, they do not often upgrade their dependencies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tend to stick to popular old releases. An additional case study revealed that Awareness Mechanisms like 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Release Announcements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Security Advisories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have a mixed inluence on developers. The likelihood of upgrading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library dependency is observed to be decreasing with increasing migration efort. A subsequent interviewing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process revealed that almost 70% of all developers were unaware of a vulnerable dependency in their project.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other 30% named mostly project-speciic reasons for which a dependency upgrade was not performed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 prioritized, eg. because the developers found that it does not actually apply to the project. This intuition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conirmed in a 2018 study conducted on 60 NPM projects by Zapata et al., which inds that as much as 73.3%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such vulnerable dependencies may not actually apply to a project, concluding that package-level vulnerability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analysis leads to signiicant overapproximation [13].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2018, Jukka Ruohonen published an analysis on vulnerabilities in Python packages that target web devel-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opment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The base data is collected from the Python Package Index (PyPI) and the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Safety DB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, a curated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list of vulnerabilities in Python packages. The author argues that, while often used in scientiic work, the CVE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list of vulnerabilities does often not include smaller libraries or lesser-known exploits. A subsequent analysis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packages related to web development showed that most vulnerabilities in the data set are of mild severity, with 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Input Validation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and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XSS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being the most common attack vectors. A inal conclusion states that a more meaningful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analysis would have to take the dependencies between artifacts into account.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Ponta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novel approach to detect whether or not a software artifact is afected by a vulnerability.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Instead of consuming metadata iles (eg.</w:t>
      </w:r>
      <w:r>
        <w:rPr>
          <w:rFonts w:ascii="Inconsolata" w:hAnsi="Inconsolata" w:eastAsia="Inconsolata"/>
          <w:b w:val="0"/>
          <w:i w:val="0"/>
          <w:color w:val="000000"/>
          <w:sz w:val="20"/>
        </w:rPr>
        <w:t xml:space="preserve"> pom.xml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), their tool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Vulas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combines static and dynamic analyses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decide whether or not the actual vulnerable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code construct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(eg. a method) is reachable from the analyzed artifact.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way, the number of false positives is reduced and the intuition of vulnerabilities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not applying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certain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contexts, as reported by Kula et al.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is formalized. In their latest publication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Ponta et al. report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current state of Vulas, and perform a comparative study on 300 enterprise projects. Compared to</w:t>
      </w:r>
      <w:r>
        <w:rPr>
          <w:rFonts w:ascii="LinLibertineTI" w:hAnsi="LinLibertineTI" w:eastAsia="LinLibertineTI"/>
          <w:b w:val="0"/>
          <w:i w:val="0"/>
          <w:color w:val="000000"/>
          <w:sz w:val="20"/>
        </w:rPr>
        <w:t xml:space="preserve"> OWASP 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>Dependency Check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(OWASP DC), their tool identiied about 1800 additional true positive indings, whereas almost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89% of 17000 vulnerabilities only reported by OWASP DC turned out to be false positives.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In their 2016 publication, Alqahtani et al. use semantic web technologies to establish links between sources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software vulnerabilities and source code repositories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They argue that traditionally, information sources on</w:t>
      </w:r>
    </w:p>
    <w:p>
      <w:pPr>
        <w:autoSpaceDN w:val="0"/>
        <w:autoSpaceDE w:val="0"/>
        <w:widowControl/>
        <w:spacing w:line="194" w:lineRule="exact" w:before="262" w:after="0"/>
        <w:ind w:left="172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16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github.com/pyupio/safety-db</w:t>
      </w:r>
    </w:p>
    <w:p>
      <w:pPr>
        <w:autoSpaceDN w:val="0"/>
        <w:autoSpaceDE w:val="0"/>
        <w:widowControl/>
        <w:spacing w:line="166" w:lineRule="exact" w:before="32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144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vulnerabilities and project metadata are heterogeneous, which hinders the estimation of vulnerability impact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artifact security.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Shahzad et al. published their study on the life cycles of software vulnerabilities in 2012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They obtained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sample of 46,310 vulnerabilities from diferent sources, including the NVD, and present an analysis regarding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multiple data dimensions. Based on that, they extract association rules regarding the patching and exploitation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behavior, which are then used for detecting patterns in the data set.</w:t>
      </w:r>
    </w:p>
    <w:p>
      <w:pPr>
        <w:autoSpaceDN w:val="0"/>
        <w:autoSpaceDE w:val="0"/>
        <w:widowControl/>
        <w:spacing w:line="238" w:lineRule="exact" w:before="2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their 2018 publication, Pashchenko et al. argue that existing tools for vulnerable dependency detection often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produce false positives, which in turn lead to ineicient development processes, especially in commercial software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development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]. The authors state that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dependency scopes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are often not evaluated in existing approaches, as well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as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halted dependencies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. The paper presents an analysis approach that is able to detect vulnerable dependencies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Maven artifacts while improving on the deiciencies mentioned above. In particular, the authors use heuristics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 average release time of a library in order to identify halted dependencies. Instead of automated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vulnerability aggregation, the authors rely on manual identiication of vulnerable code for each vulnerability.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Finally, Pashchenko et al. conduct a study of their approach on 200 open source Maven libraries. They ind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14% of all dependencies in their sample are halted, with 1% of them being afected by known vulnerabilities. They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conclude that employing their approach helped to reduce the time developers have to spend on false positives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vulnerable dependency detection.</w:t>
      </w:r>
    </w:p>
    <w:p>
      <w:pPr>
        <w:autoSpaceDN w:val="0"/>
        <w:autoSpaceDE w:val="0"/>
        <w:widowControl/>
        <w:spacing w:line="240" w:lineRule="exact" w:before="0" w:after="0"/>
        <w:ind w:left="168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Building on their previous work, in 2020 Pashchenko et al. present</w:t>
      </w:r>
      <w:r>
        <w:rPr>
          <w:w w:val="98.62470626831055"/>
          <w:rFonts w:ascii="LinLibertineTI" w:hAnsi="LinLibertineTI" w:eastAsia="LinLibertineTI"/>
          <w:b w:val="0"/>
          <w:i w:val="0"/>
          <w:color w:val="000000"/>
          <w:sz w:val="20"/>
        </w:rPr>
        <w:t xml:space="preserve"> Vuln4Real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, a methodology for overcoming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inaccuracies of traditional approaches for vulnerable dependency detection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They implement the methodology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the Maven build system and perform an empirical study on 500 libraries. The authors ind that 80%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vulnerable dependencies can potentially be ixed by a direct dependency upgrade. Furthermore, Vuln4Real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decreases the number of false positives by 27%, thus efectively saving developers the time they would otherwise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have to spend on analyzing an inaccurate alert.</w:t>
      </w:r>
    </w:p>
    <w:p>
      <w:pPr>
        <w:autoSpaceDN w:val="0"/>
        <w:autoSpaceDE w:val="0"/>
        <w:widowControl/>
        <w:spacing w:line="238" w:lineRule="exact" w:before="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2020, Pashchenko et al. published a qualitative study on the security implications of developer decisions re-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garding dependency management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The authors interviewed a total of 25 developers from diferent enterprises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investigate the trade-of between functional and security-related concerns. Their results imply that selecting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appropriate dependency is a complex task, and security concerns are often neglected in these scenarios.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Furthermore, the authors observe that patches are more likely to be adopted by developers if they are not bundled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functional changes.</w:t>
      </w:r>
    </w:p>
    <w:p>
      <w:pPr>
        <w:autoSpaceDN w:val="0"/>
        <w:tabs>
          <w:tab w:pos="494" w:val="left"/>
        </w:tabs>
        <w:autoSpaceDE w:val="0"/>
        <w:widowControl/>
        <w:spacing w:line="226" w:lineRule="exact" w:before="52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9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CONCLUSION</w:t>
      </w:r>
    </w:p>
    <w:p>
      <w:pPr>
        <w:autoSpaceDN w:val="0"/>
        <w:autoSpaceDE w:val="0"/>
        <w:widowControl/>
        <w:spacing w:line="240" w:lineRule="exact" w:before="54" w:after="0"/>
        <w:ind w:left="174" w:right="152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Our work presented three core contributions, that mitigate the resulting threats to application security and foster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 general understanding of how vulnerability patches and dependency upgrades are performed in Maven Central,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NuGet.org, and the NPM Registry.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irst, we designed and implemented a distributed application that aggregates the dependency graphs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artifacts from all three repositories. An additional post-processing step leverages a Snyk data dump to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annotate information about CVE software vulnerabilities to the graph. By executing the application we obtained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vulnerability-enriched dependency graph for Maven Central (as of September 2018), NuGet.org, and the NPM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Registry (both up-to-date as of June 2020). It contains a total of 19 million software artifact nodes, which belong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1.8 million libraries and have 4.9 million unique dependency speciications, with 5378 vulnerabilities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annotated.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Our second contribution is a detailed analysis of the data that we previously generated. It was conducted 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four diferent research questions and comprised the creation of applications for data processing as well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interactive data visualizations for manual data exploration.</w:t>
      </w:r>
    </w:p>
    <w:p>
      <w:pPr>
        <w:autoSpaceDN w:val="0"/>
        <w:autoSpaceDE w:val="0"/>
        <w:widowControl/>
        <w:spacing w:line="166" w:lineRule="exact" w:before="456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2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4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1:25</w:t>
            </w:r>
          </w:p>
        </w:tc>
      </w:tr>
    </w:tbl>
    <w:p>
      <w:pPr>
        <w:autoSpaceDN w:val="0"/>
        <w:autoSpaceDE w:val="0"/>
        <w:widowControl/>
        <w:spacing w:line="240" w:lineRule="exact" w:before="258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found that a substantial amount of vulnerabilities is still unpatched (over 25%), but existing patches are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often released long before vulnerability publication. We also observed that vulnerabilities may transitively afect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artifact with a transitive depth of up to 25, making it hard to manually discover a potential security risk.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addition to that, our analysis revealed that up to 20% of all libraries (Maven Central) in a repository have been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afected by direct vulnerable dependencies, and 60% of those libraries did not upgrade any of them. Interestingly,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while most dependency upgrades happen long before a vulnerability is published, the act of publishing does seem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trigger an immediate dependency upgrade for some maintainers in Maven Central and the NPM Registry, thus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indicating that they may be actively responding to security advisories.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Our third and inal contribution is a set of observed security threats and mitigation strategies, which we derived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the analysis results described above. These strategies are meant to mitigate the security threats that result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from our indings, thus potentially increasing application security.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each of our contributions, we aim to improve the current state-of-the-art regarding the development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patches and the upgrades of vulnerable dependencies, thus ultimately reducing the number of exploitable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security laws in software applications. Our indings provide the foundation for a common understanding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topic and indicate how to tackle some of the problems that we pointed out. Our results may be extended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incorporating additional repositories or data sources.</w:t>
      </w:r>
    </w:p>
    <w:p>
      <w:pPr>
        <w:autoSpaceDN w:val="0"/>
        <w:autoSpaceDE w:val="0"/>
        <w:widowControl/>
        <w:spacing w:line="226" w:lineRule="exact" w:before="280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ACKNOWLEDGMENTS</w:t>
      </w:r>
    </w:p>
    <w:p>
      <w:pPr>
        <w:autoSpaceDN w:val="0"/>
        <w:autoSpaceDE w:val="0"/>
        <w:widowControl/>
        <w:spacing w:line="208" w:lineRule="exact" w:before="86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Special thanks to Snyk Ltd. for sharing their data on vulnerabilities for the context of this research project.</w:t>
      </w:r>
    </w:p>
    <w:p>
      <w:pPr>
        <w:autoSpaceDN w:val="0"/>
        <w:autoSpaceDE w:val="0"/>
        <w:widowControl/>
        <w:spacing w:line="224" w:lineRule="exact" w:before="282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REFERENCES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46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Rabe Abdalkareem, Vinicius Oda, Suhaib Mujahid, and Emad Shihab. 2020. On the impact of using trivial packages: an empirical case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study on npm and PyPI.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25, 2 (01 Mar 2020), 1168ś1204.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1" w:history="1">
          <w:r>
            <w:rPr>
              <w:rStyle w:val="Hyperlink"/>
            </w:rPr>
            <w:t xml:space="preserve">https://doi.org/10.1007/s10664-019-09792-9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Sultan S. Alqahtani, Ellis E. Eghan, and Juergen Rilling. 2016. Tracing known security vulnerabilities in software repositories âĂŞ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Semantic Web enabled modeling approach.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Science of Computer Programming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121 (2016), 153ś175.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 xml:space="preserve">https://doi.org/10.1016/j.scico.2016.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2" w:history="1">
          <w:r>
            <w:rPr>
              <w:rStyle w:val="Hyperlink"/>
            </w:rPr>
            <w:t>01.005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Special Issue on Knowledge-based Software Engineering.</w:t>
      </w:r>
    </w:p>
    <w:p>
      <w:pPr>
        <w:autoSpaceDN w:val="0"/>
        <w:tabs>
          <w:tab w:pos="510" w:val="left"/>
          <w:tab w:pos="516" w:val="left"/>
          <w:tab w:pos="856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Gabriele Bavota, Gerardo Canfora, Massimiliano Di Penta, Rocco Oliveto, and Sebastiano Panichella. 2015. How the Apache community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upgrades dependencies: an evolutionary study.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5 (01 Oct 2015), 1275ś1317.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https://doi.org/10.1007/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3" w:history="1">
          <w:r>
            <w:rPr>
              <w:rStyle w:val="Hyperlink"/>
            </w:rPr>
            <w:t xml:space="preserve">s10664-014-9325-9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Amine Benelallam, Nicolas Harrand, César Soto-Valero, Benoit Baudry, and Olivier Barais. 2019. The Maven Dependency Graph: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 Temporal Graph-Based Representation of Maven Central.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16th International Conference on Mining Software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Repositories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(Montreal, Quebec, Canada)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(MSR ’19)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 Press, 344âĂŞ348.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4" w:history="1">
          <w:r>
            <w:rPr>
              <w:rStyle w:val="Hyperlink"/>
            </w:rPr>
            <w:t xml:space="preserve">https://doi.org/10.1109/MSR.2019.00060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[5] B. Boehm. 1999. Managing software productivity and reuse.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32, 9 (1999), 111ś113.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5" w:history="1">
          <w:r>
            <w:rPr>
              <w:rStyle w:val="Hyperlink"/>
            </w:rPr>
            <w:t xml:space="preserve">https://doi.org/10.1109/2.789755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Paolo Boldi and Georgios Gousios. 2021. Fine-Grained Network Analysis for Modern Software Ecosystems.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Transactions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Internet Technology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21, 1 (Feb 2021), 1âĂŞ14.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 xml:space="preserve">https://doi.org/10.1145/3418209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Bodin Chinthanet, Raula Gaikovina Kula, Shane McIntosh, Takashi Ishio, Akinori Ihara, and Kenichi Matsumoto. 2021. Lags in the release,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adoption, and propagation of npm vulnerability ixes.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26, 3 (Mar 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>https://doi.org/10.1007/s10664-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7" w:history="1">
          <w:r>
            <w:rPr>
              <w:rStyle w:val="Hyperlink"/>
            </w:rPr>
            <w:t xml:space="preserve">021-09951-x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MITRE Corporation. 2019. CVE and NVD Relationship.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8" w:history="1">
          <w:r>
            <w:rPr>
              <w:rStyle w:val="Hyperlink"/>
            </w:rPr>
            <w:t xml:space="preserve">https://cve.mitre.org/about/cve_and_nvd_relationship.html.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Accessed: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2020-06-04.</w:t>
      </w:r>
    </w:p>
    <w:p>
      <w:pPr>
        <w:autoSpaceDN w:val="0"/>
        <w:autoSpaceDE w:val="0"/>
        <w:widowControl/>
        <w:spacing w:line="166" w:lineRule="exact" w:before="34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[9] MITRE Corporation. 2021. CVE List Home.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39" w:history="1">
          <w:r>
            <w:rPr>
              <w:rStyle w:val="Hyperlink"/>
            </w:rPr>
            <w:t>https://cve.mitre.org/cve/.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2021-05-17.</w:t>
      </w:r>
    </w:p>
    <w:p>
      <w:pPr>
        <w:autoSpaceDN w:val="0"/>
        <w:autoSpaceDE w:val="0"/>
        <w:widowControl/>
        <w:spacing w:line="198" w:lineRule="exact" w:before="2" w:after="0"/>
        <w:ind w:left="516" w:right="144" w:hanging="34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Alexandre Decan, Tom Mens, and Eleni Constantinou. 2018. On the Impact of Security Vulnerabilities in the npm Package Dependency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15th International Conference on Mining Software Repositories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(Gothenburg, Sweden)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(MSR âĂŹ18)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Association for Computing Machinery, New York, NY, USA, 181âĂŞ191.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0" w:history="1">
          <w:r>
            <w:rPr>
              <w:rStyle w:val="Hyperlink"/>
            </w:rPr>
            <w:t xml:space="preserve">https://doi.org/10.1145/3196398.3196401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Alexandre Decan, Tom Mens, and Philippe Grosjean. 2019. An empirical comparison of dependency network evolution in seven software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packaging ecosystems.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24 (Feb 2019), 381ś416.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1" w:history="1">
          <w:r>
            <w:rPr>
              <w:rStyle w:val="Hyperlink"/>
            </w:rPr>
            <w:t xml:space="preserve">https://doi.org/10.1007/s10664-017-9589-y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Johannes DÃĳsing and Ben Hermann. 2021. sse-labs/dependency-graph-miner: Full Release for Final Paper. (Jun 2021).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8" w:history="1">
          <w:r>
            <w:rPr>
              <w:rStyle w:val="Hyperlink"/>
            </w:rPr>
            <w:t xml:space="preserve">//doi.org/10.5281/zenodo.5040439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Rodrigo Elizalde Zapata, Raula Gaikovina Kula, Bodin Chinthanet, Takashi Ishio, Kenichi Matsumoto, and Akinori Ihara. 2018. Towards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Smoother Library Migrations: A Look at Vulnerable Dependency Migrations at Function Level for npm JavaScript Packages.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</w:t>
      </w:r>
    </w:p>
    <w:p>
      <w:pPr>
        <w:autoSpaceDN w:val="0"/>
        <w:autoSpaceDE w:val="0"/>
        <w:widowControl/>
        <w:spacing w:line="166" w:lineRule="exact" w:before="34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0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Johannes DÃĳsing and Ben Hermann</w:t>
            </w:r>
          </w:p>
        </w:tc>
      </w:tr>
    </w:tbl>
    <w:p>
      <w:pPr>
        <w:autoSpaceDN w:val="0"/>
        <w:tabs>
          <w:tab w:pos="506" w:val="left"/>
          <w:tab w:pos="510" w:val="left"/>
          <w:tab w:pos="516" w:val="left"/>
        </w:tabs>
        <w:autoSpaceDE w:val="0"/>
        <w:widowControl/>
        <w:spacing w:line="198" w:lineRule="exact" w:before="280" w:after="0"/>
        <w:ind w:left="174" w:right="144" w:firstLine="0"/>
        <w:jc w:val="left"/>
      </w:pP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International Conference on Software Maintenance and Evolution (ICSME)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559ś563.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 xml:space="preserve">https://doi.org/10.1109/ICSME.2018.00067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[14] Apache Software Foundation. 2020. Maven - Introduction.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>https://maven.apache.org/what-is-maven.html.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2020-11-19.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Stefan Frei, Dominik Schatzmann, Bernhard Plattner, and Brian Trammell. 2010.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Modeling the Security Ecosystem - The Dynamics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(In)Security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79ś106.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4" w:history="1">
          <w:r>
            <w:rPr>
              <w:rStyle w:val="Hyperlink"/>
            </w:rPr>
            <w:t xml:space="preserve">https://doi.org/10.1007/978-1-4419-6967-5_6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Antonios Gkortzis, Daniel Feitosa, and Diomidis Spinellis. 2019. A Double-Edged Sword? Software Reuse and Potential Security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Vulnerabilities.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Reuse in the Big Data Era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, Xin Peng, Apostolos Ampatzoglou, and Tanmay Bhowmik (Eds.). Springer International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Publishing, Cham, 187ś203.</w:t>
      </w:r>
    </w:p>
    <w:p>
      <w:pPr>
        <w:autoSpaceDN w:val="0"/>
        <w:autoSpaceDE w:val="0"/>
        <w:widowControl/>
        <w:spacing w:line="166" w:lineRule="exact" w:before="34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[17] Hackerone. 2020. Hack the Pentagon.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5" w:history="1">
          <w:r>
            <w:rPr>
              <w:rStyle w:val="Hyperlink"/>
            </w:rPr>
            <w:t>https://www.hackerone.com/hack-the-pentagon.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2020-08-20.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Lars Heinemann, Florian Deissenboeck, Mario Gleirscher, Benjamin Hummel, and Maximilian Irlbeck. 2011. On the Extent and Nature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of Software Reuse in Open Source Java Projects.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Top Productivity through Software Reuse: 12th International Conference on Software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Reuse, ICSR, Pohang, South Korea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6727, 207ś222.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6" w:history="1">
          <w:r>
            <w:rPr>
              <w:rStyle w:val="Hyperlink"/>
            </w:rPr>
            <w:t xml:space="preserve">https://doi.org/10.1007/978-3-642-21347-2_16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[19] NPM Inc. 2020. About NPM.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7" w:history="1">
          <w:r>
            <w:rPr>
              <w:rStyle w:val="Hyperlink"/>
            </w:rPr>
            <w:t>https://docs.npmjs.com/about-npm.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2020-11-19.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Raula Gaikovina Kula, Daniel M. German, Ali Ouni, Takashi Ishio, and Katsuro Inoue. 2018. Do developers update their library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dependencies?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23, 1 (01 Feb 2018), 384ś417.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8" w:history="1">
          <w:r>
            <w:rPr>
              <w:rStyle w:val="Hyperlink"/>
            </w:rPr>
            <w:t xml:space="preserve">https://doi.org/10.1007/s10664-017-9521-5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Gabriel Lawrence and Chris Frohof. [n.d.]. Marshalling Pickles - How Deserializing Objects Can Ruin Your Day.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>https://www.slideshare.</w:t>
          </w:r>
        </w:hyperlink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49" w:history="1">
          <w:r>
            <w:rPr>
              <w:rStyle w:val="Hyperlink"/>
            </w:rPr>
            <w:t xml:space="preserve">net/frohof1/appseccali-2015-marshalling-pickles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W. C. Lim. 1994. Efects of reuse on quality, productivity, and economics.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Software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11, 5 (1994), 23ś30.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>https://doi.org/10.1109/52.</w:t>
          </w:r>
        </w:hyperlink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0" w:history="1">
          <w:r>
            <w:rPr>
              <w:rStyle w:val="Hyperlink"/>
            </w:rPr>
            <w:t xml:space="preserve">311048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Snyk Limited. 2020. Snyk - Disclosing vulnerabilities.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>https://support.snyk.io/hc/en-us/articles/360005933037-Snyk-open-source-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1" w:history="1">
          <w:r>
            <w:rPr>
              <w:rStyle w:val="Hyperlink"/>
            </w:rPr>
            <w:t>packages-disclosure-policy.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2021-04-14.</w:t>
      </w:r>
    </w:p>
    <w:p>
      <w:pPr>
        <w:autoSpaceDN w:val="0"/>
        <w:autoSpaceDE w:val="0"/>
        <w:widowControl/>
        <w:spacing w:line="166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[24] Snyk Limited. 2021. Snyk Intel Vulnerability Database.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2" w:history="1">
          <w:r>
            <w:rPr>
              <w:rStyle w:val="Hyperlink"/>
            </w:rPr>
            <w:t>https://snyk.io/product/vulnerability-database/.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2021-04-14.</w:t>
      </w:r>
    </w:p>
    <w:p>
      <w:pPr>
        <w:autoSpaceDN w:val="0"/>
        <w:autoSpaceDE w:val="0"/>
        <w:widowControl/>
        <w:spacing w:line="198" w:lineRule="exact" w:before="2" w:after="0"/>
        <w:ind w:left="174" w:right="86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[25] Microsoft. 2019. An introduction to NuGet.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3" w:history="1">
          <w:r>
            <w:rPr>
              <w:rStyle w:val="Hyperlink"/>
            </w:rPr>
            <w:t>https://docs.microsoft.com/en-us/nuget/what-is-nuget.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2020-11-19.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[26] Microsoft. 2020. Create .NET apps faster with NuGet.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4" w:history="1">
          <w:r>
            <w:rPr>
              <w:rStyle w:val="Hyperlink"/>
            </w:rPr>
            <w:t>https://www.nuget.org/.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2020-11-20.</w:t>
      </w:r>
    </w:p>
    <w:p>
      <w:pPr>
        <w:autoSpaceDN w:val="0"/>
        <w:tabs>
          <w:tab w:pos="51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Microsoft. 2020. Microsoft Online Services Bounty Program.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5" w:history="1">
          <w:r>
            <w:rPr>
              <w:rStyle w:val="Hyperlink"/>
            </w:rPr>
            <w:t xml:space="preserve">https://www.microsoft.com/en-us/msrc/bounty-microsoft-cloud?rtc=1.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Accessed: 2020-08-20.</w:t>
      </w:r>
    </w:p>
    <w:p>
      <w:pPr>
        <w:autoSpaceDN w:val="0"/>
        <w:autoSpaceDE w:val="0"/>
        <w:widowControl/>
        <w:spacing w:line="166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[28] MvnRepository. 2021. Central Repository.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6" w:history="1">
          <w:r>
            <w:rPr>
              <w:rStyle w:val="Hyperlink"/>
            </w:rPr>
            <w:t>https://mvnrepository.com/repos/central.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2021-05-17.</w:t>
      </w:r>
    </w:p>
    <w:p>
      <w:pPr>
        <w:autoSpaceDN w:val="0"/>
        <w:tabs>
          <w:tab w:pos="512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MvnRepository. 2021. Jackson Databind. mvnrepository.com/artifact/com.fasterxml.jackson.core/jackson-databind. Accessed: 2021-05-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17.</w:t>
      </w:r>
    </w:p>
    <w:p>
      <w:pPr>
        <w:autoSpaceDN w:val="0"/>
        <w:tabs>
          <w:tab w:pos="516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Oracle. 2015. Understanding Maven Version Numbers.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 xml:space="preserve">https://docs.oracle.com/middleware/1212/core/MAVEN/maven_version.htm#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7" w:history="1">
          <w:r>
            <w:rPr>
              <w:rStyle w:val="Hyperlink"/>
            </w:rPr>
            <w:t>MAVEN402.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2021-05-14.</w:t>
      </w:r>
    </w:p>
    <w:p>
      <w:pPr>
        <w:autoSpaceDN w:val="0"/>
        <w:autoSpaceDE w:val="0"/>
        <w:widowControl/>
        <w:spacing w:line="166" w:lineRule="exact" w:before="3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[31] OW2. 2021. FASTEN Project.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8" w:history="1">
          <w:r>
            <w:rPr>
              <w:rStyle w:val="Hyperlink"/>
            </w:rPr>
            <w:t>https://www.fasten-project.eu/view/Main/.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2021-04-30.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Ivan Pashchenko, Henrik Plate, Serena Elisa Ponta, Antonino Sabetta, and Fabio Massacci. 2018. Vulnerable Open Source Dependencies: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Counting Those That Matter.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12th ACM/IEEE International Symposium on Empirical Software Engineering and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Measurement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(Oulu, Finland)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(ESEM 18)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for Computing Machinery, New York, NY, USA, Article 42, 10 pages.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59" w:history="1">
          <w:r>
            <w:rPr>
              <w:rStyle w:val="Hyperlink"/>
            </w:rPr>
            <w:t xml:space="preserve">//doi.org/10.1145/3239235.3268920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I. Pashchenko, H. Plate, S. E. Ponta, A. Sabetta, and F. Massacci. 2020. Vuln4Real: A Methodology for Counting Actually Vulnerable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Dependencies.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(2020), 1ś1.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0" w:history="1">
          <w:r>
            <w:rPr>
              <w:rStyle w:val="Hyperlink"/>
            </w:rPr>
            <w:t xml:space="preserve">https://doi.org/10.1109/TSE.2020.3025443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[34]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Ivan Pashchenko, Duc-Ly Vu, and Fabio Massacci. 2020. A Qualitative Study of Dependency Management and Its Security Implications.</w:t>
      </w:r>
    </w:p>
    <w:p>
      <w:pPr>
        <w:autoSpaceDN w:val="0"/>
        <w:tabs>
          <w:tab w:pos="510" w:val="left"/>
          <w:tab w:pos="516" w:val="left"/>
          <w:tab w:pos="8828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2020 ACM SIGSAC Conference on Computer and Communications Security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(Virtual Event, USA)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(CCS ’20)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Association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for Computing Machinery, New York, NY, USA, 1513âĂŞ1531.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1" w:history="1">
          <w:r>
            <w:rPr>
              <w:rStyle w:val="Hyperlink"/>
            </w:rPr>
            <w:t xml:space="preserve">https://doi.org/10.1145/3372297.3417232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Mike Pittenger. 2016. The State of Open Source Security in Commercial Applications.</w:t>
      </w:r>
      <w:r>
        <w:rPr>
          <w:w w:val="98.87623190879822"/>
          <w:rFonts w:ascii="LinLibertineTI" w:hAnsi="LinLibertineTI" w:eastAsia="LinLibertineTI"/>
          <w:b w:val="0"/>
          <w:i w:val="0"/>
          <w:color w:val="000000"/>
          <w:sz w:val="16"/>
        </w:rPr>
        <w:t xml:space="preserve"> Black Duck Open Source Security Analysis</w:t>
      </w:r>
      <w:r>
        <w:rPr>
          <w:w w:val="98.87623190879822"/>
          <w:rFonts w:ascii="LinLibertineT" w:hAnsi="LinLibertineT" w:eastAsia="LinLibertineT"/>
          <w:b w:val="0"/>
          <w:i w:val="0"/>
          <w:color w:val="000000"/>
          <w:sz w:val="16"/>
        </w:rPr>
        <w:t xml:space="preserve"> (2016).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S. E. Ponta, H. Plate, and A. Sabetta. 2018. Beyond Metadata: Code-Centric and Usage-Based Analysis of Known Vulnerabilities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 Open-Source Software.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IEEE International Conference on Software Maintenance and Evolution (ICSME)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449ś460.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 xml:space="preserve">https: 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2" w:history="1">
          <w:r>
            <w:rPr>
              <w:rStyle w:val="Hyperlink"/>
            </w:rPr>
            <w:t xml:space="preserve">//doi.org/10.1109/ICSME.2018.00054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Serena Elisa Ponta, Henrik Plate, and Antonino Sabetta. 2020. Detection, assessment and mitigation of vulnerabilities in open source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dependencies.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25, 5 (01 Sep 2020), 3175ś3215.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3" w:history="1">
          <w:r>
            <w:rPr>
              <w:rStyle w:val="Hyperlink"/>
            </w:rPr>
            <w:t xml:space="preserve">https://doi.org/10.1007/s10664-020-09830-x 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Open Web Application Security Project. 2020. Dependency-Check Maven.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>https://jeremylong.github.io/DependencyCheck/dependency-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4" w:history="1">
          <w:r>
            <w:rPr>
              <w:rStyle w:val="Hyperlink"/>
            </w:rPr>
            <w:t>check-maven/index.html.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2020-06-05.</w:t>
      </w:r>
    </w:p>
    <w:p>
      <w:pPr>
        <w:autoSpaceDN w:val="0"/>
        <w:tabs>
          <w:tab w:pos="51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J. Ruohonen. 2018. An Empirical Analysis of Vulnerabilities in Python Packages for Web Applications.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2018 9th International Workshop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Empirical Software Engineering in Practice (IWESEP)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25ś30.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5" w:history="1">
          <w:r>
            <w:rPr>
              <w:rStyle w:val="Hyperlink"/>
            </w:rPr>
            <w:t xml:space="preserve">https://doi.org/10.1109/IWESEP.2018.00013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M. Shahzad, M. Z. Shaiq, and A. X. Liu. 2012. A large scale exploratory analysis of software vulnerability life cycles.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2012 34th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Software Engineering (ICSE)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771ś781.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6" w:history="1">
          <w:r>
            <w:rPr>
              <w:rStyle w:val="Hyperlink"/>
            </w:rPr>
            <w:t xml:space="preserve">https://doi.org/10.1109/ICSE.2012.6227141 </w:t>
          </w:r>
        </w:hyperlink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CÃľsar Soto-Valero, Nicolas Harrand, Martin Monperrus, and Benoit Baudry. 2021. A comprehensive study of bloated dependencies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the Maven ecosystem.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Empirical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26, 3 (Mar 2021).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7" w:history="1">
          <w:r>
            <w:rPr>
              <w:rStyle w:val="Hyperlink"/>
            </w:rPr>
            <w:t>https://doi.org/10.1007/s10664-020-09914-8</w:t>
          </w:r>
        </w:hyperlink>
      </w:r>
    </w:p>
    <w:p>
      <w:pPr>
        <w:autoSpaceDN w:val="0"/>
        <w:autoSpaceDE w:val="0"/>
        <w:widowControl/>
        <w:spacing w:line="166" w:lineRule="exact" w:before="512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p>
      <w:pPr>
        <w:sectPr>
          <w:pgSz w:w="12240" w:h="15840"/>
          <w:pgMar w:top="812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440" w:space="0"/>
            <w:col w:w="9360" w:space="0"/>
            <w:col w:w="9360" w:space="0"/>
            <w:col w:w="9440" w:space="0"/>
            <w:col w:w="9360" w:space="0"/>
            <w:col w:w="9440" w:space="0"/>
            <w:col w:w="5058" w:space="0"/>
            <w:col w:w="4382" w:space="0"/>
            <w:col w:w="944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40.0" w:type="dxa"/>
      </w:tblPr>
      <w:tblGrid>
        <w:gridCol w:w="3120"/>
        <w:gridCol w:w="3120"/>
        <w:gridCol w:w="3120"/>
      </w:tblGrid>
      <w:tr>
        <w:trPr>
          <w:trHeight w:hRule="exact" w:val="226"/>
        </w:trPr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6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Analyzing Vulnerability Impact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1:27</w:t>
            </w:r>
          </w:p>
        </w:tc>
      </w:tr>
    </w:tbl>
    <w:p>
      <w:pPr>
        <w:autoSpaceDN w:val="0"/>
        <w:tabs>
          <w:tab w:pos="516" w:val="left"/>
        </w:tabs>
        <w:autoSpaceDE w:val="0"/>
        <w:widowControl/>
        <w:spacing w:line="198" w:lineRule="exact" w:before="29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Synopsys, Inc. 2021. Open Source Security and Risk Analysis Report. 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>https://www.synopsys.com/software-integrity/resources/analyst-</w:t>
          </w:r>
        </w:hyperlink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8" w:history="1">
          <w:r>
            <w:rPr>
              <w:rStyle w:val="Hyperlink"/>
            </w:rPr>
            <w:t>reports/open-source-security-risk-analysis.html.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2021-05-17.</w:t>
      </w:r>
    </w:p>
    <w:p>
      <w:pPr>
        <w:autoSpaceDN w:val="0"/>
        <w:autoSpaceDE w:val="0"/>
        <w:widowControl/>
        <w:spacing w:line="166" w:lineRule="exact" w:before="34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[43] NPM Security Team. 2016. Security Holding Package.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69" w:history="1">
          <w:r>
            <w:rPr>
              <w:rStyle w:val="Hyperlink"/>
            </w:rPr>
            <w:t>https://www.github.com/npm/security-holder#readme.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Accessed: 2020-09-07.</w:t>
      </w:r>
    </w:p>
    <w:p>
      <w:pPr>
        <w:autoSpaceDN w:val="0"/>
        <w:autoSpaceDE w:val="0"/>
        <w:widowControl/>
        <w:spacing w:line="240" w:lineRule="auto" w:before="14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935220" cy="47523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2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6" w:lineRule="exact" w:before="174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Digit. Threat. Res. Pract.</w:t>
      </w:r>
    </w:p>
    <w:sectPr w:rsidR="00FC693F" w:rsidRPr="0006063C" w:rsidSect="00034616">
      <w:pgSz w:w="12240" w:h="15840"/>
      <w:pgMar w:top="808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440" w:space="0"/>
        <w:col w:w="9360" w:space="0"/>
        <w:col w:w="9360" w:space="0"/>
        <w:col w:w="9440" w:space="0"/>
        <w:col w:w="9360" w:space="0"/>
        <w:col w:w="9440" w:space="0"/>
        <w:col w:w="5058" w:space="0"/>
        <w:col w:w="4382" w:space="0"/>
        <w:col w:w="944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orcid.org/0000-0002-9367-2206" TargetMode="External"/><Relationship Id="rId10" Type="http://schemas.openxmlformats.org/officeDocument/2006/relationships/hyperlink" Target="https://orcid.org/0000-0001-9848-2017" TargetMode="External"/><Relationship Id="rId11" Type="http://schemas.openxmlformats.org/officeDocument/2006/relationships/hyperlink" Target="https://doi.org/10.1145/3472811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hyperlink" Target="https://repo.maven.apache.org/maven2/.index/" TargetMode="External"/><Relationship Id="rId17" Type="http://schemas.openxmlformats.org/officeDocument/2006/relationships/hyperlink" Target="https://github.com/sse-labs/dependency-graph-miner" TargetMode="External"/><Relationship Id="rId18" Type="http://schemas.openxmlformats.org/officeDocument/2006/relationships/hyperlink" Target="https://doi.org/10.5281/zenodo.5040439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hyperlink" Target="https://doi.org/10.1007/s10664-019-09792-9" TargetMode="External"/><Relationship Id="rId32" Type="http://schemas.openxmlformats.org/officeDocument/2006/relationships/hyperlink" Target="https://doi.org/10.1016/j.scico.2016.01.005" TargetMode="External"/><Relationship Id="rId33" Type="http://schemas.openxmlformats.org/officeDocument/2006/relationships/hyperlink" Target="https://doi.org/10.1007/s10664-014-9325-9" TargetMode="External"/><Relationship Id="rId34" Type="http://schemas.openxmlformats.org/officeDocument/2006/relationships/hyperlink" Target="https://doi.org/10.1109/MSR.2019.00060" TargetMode="External"/><Relationship Id="rId35" Type="http://schemas.openxmlformats.org/officeDocument/2006/relationships/hyperlink" Target="https://doi.org/10.1109/2.789755" TargetMode="External"/><Relationship Id="rId36" Type="http://schemas.openxmlformats.org/officeDocument/2006/relationships/hyperlink" Target="https://doi.org/10.1145/3418209" TargetMode="External"/><Relationship Id="rId37" Type="http://schemas.openxmlformats.org/officeDocument/2006/relationships/hyperlink" Target="https://doi.org/10.1007/s10664-021-09951-x" TargetMode="External"/><Relationship Id="rId38" Type="http://schemas.openxmlformats.org/officeDocument/2006/relationships/hyperlink" Target="https://cve.mitre.org/about/cve_and_nvd_relationship.html" TargetMode="External"/><Relationship Id="rId39" Type="http://schemas.openxmlformats.org/officeDocument/2006/relationships/hyperlink" Target="https://cve.mitre.org/cve/" TargetMode="External"/><Relationship Id="rId40" Type="http://schemas.openxmlformats.org/officeDocument/2006/relationships/hyperlink" Target="https://doi.org/10.1145/3196398.3196401" TargetMode="External"/><Relationship Id="rId41" Type="http://schemas.openxmlformats.org/officeDocument/2006/relationships/hyperlink" Target="https://doi.org/10.1007/s10664-017-9589-y" TargetMode="External"/><Relationship Id="rId42" Type="http://schemas.openxmlformats.org/officeDocument/2006/relationships/hyperlink" Target="https://doi.org/10.1109/ICSME.2018.00067" TargetMode="External"/><Relationship Id="rId43" Type="http://schemas.openxmlformats.org/officeDocument/2006/relationships/hyperlink" Target="https://maven.apache.org/what-is-maven.html" TargetMode="External"/><Relationship Id="rId44" Type="http://schemas.openxmlformats.org/officeDocument/2006/relationships/hyperlink" Target="https://doi.org/10.1007/978-1-4419-6967-5_6" TargetMode="External"/><Relationship Id="rId45" Type="http://schemas.openxmlformats.org/officeDocument/2006/relationships/hyperlink" Target="https://www.hackerone.com/hack-the-pentagon" TargetMode="External"/><Relationship Id="rId46" Type="http://schemas.openxmlformats.org/officeDocument/2006/relationships/hyperlink" Target="https://doi.org/10.1007/978-3-642-21347-2_16" TargetMode="External"/><Relationship Id="rId47" Type="http://schemas.openxmlformats.org/officeDocument/2006/relationships/hyperlink" Target="https://docs.npmjs.com/about-npm" TargetMode="External"/><Relationship Id="rId48" Type="http://schemas.openxmlformats.org/officeDocument/2006/relationships/hyperlink" Target="https://doi.org/10.1007/s10664-017-9521-5" TargetMode="External"/><Relationship Id="rId49" Type="http://schemas.openxmlformats.org/officeDocument/2006/relationships/hyperlink" Target="https://www.slideshare.net/frohoff1/appseccali-2015-marshalling-pickles" TargetMode="External"/><Relationship Id="rId50" Type="http://schemas.openxmlformats.org/officeDocument/2006/relationships/hyperlink" Target="https://doi.org/10.1109/52.311048" TargetMode="External"/><Relationship Id="rId51" Type="http://schemas.openxmlformats.org/officeDocument/2006/relationships/hyperlink" Target="https://support.snyk.io/hc/en-us/articles/360005933037-Snyk-open-source-packages-disclosure-policy" TargetMode="External"/><Relationship Id="rId52" Type="http://schemas.openxmlformats.org/officeDocument/2006/relationships/hyperlink" Target="https://snyk.io/product/vulnerability-database/" TargetMode="External"/><Relationship Id="rId53" Type="http://schemas.openxmlformats.org/officeDocument/2006/relationships/hyperlink" Target="https://docs.microsoft.com/en-us/nuget/what-is-nuget" TargetMode="External"/><Relationship Id="rId54" Type="http://schemas.openxmlformats.org/officeDocument/2006/relationships/hyperlink" Target="https://www.nuget.org/" TargetMode="External"/><Relationship Id="rId55" Type="http://schemas.openxmlformats.org/officeDocument/2006/relationships/hyperlink" Target="https://www.microsoft.com/en-us/msrc/bounty-microsoft-cloud?rtc=1" TargetMode="External"/><Relationship Id="rId56" Type="http://schemas.openxmlformats.org/officeDocument/2006/relationships/hyperlink" Target="https://mvnrepository.com/repos/central" TargetMode="External"/><Relationship Id="rId57" Type="http://schemas.openxmlformats.org/officeDocument/2006/relationships/hyperlink" Target="https://docs.oracle.com/middleware/1212/core/MAVEN/maven_version.htm#MAVEN402" TargetMode="External"/><Relationship Id="rId58" Type="http://schemas.openxmlformats.org/officeDocument/2006/relationships/hyperlink" Target="https://www.fasten-project.eu/view/Main/" TargetMode="External"/><Relationship Id="rId59" Type="http://schemas.openxmlformats.org/officeDocument/2006/relationships/hyperlink" Target="https://doi.org/10.1145/3239235.3268920" TargetMode="External"/><Relationship Id="rId60" Type="http://schemas.openxmlformats.org/officeDocument/2006/relationships/hyperlink" Target="https://doi.org/10.1109/TSE.2020.3025443" TargetMode="External"/><Relationship Id="rId61" Type="http://schemas.openxmlformats.org/officeDocument/2006/relationships/hyperlink" Target="https://doi.org/10.1145/3372297.3417232" TargetMode="External"/><Relationship Id="rId62" Type="http://schemas.openxmlformats.org/officeDocument/2006/relationships/hyperlink" Target="https://doi.org/10.1109/ICSME.2018.00054" TargetMode="External"/><Relationship Id="rId63" Type="http://schemas.openxmlformats.org/officeDocument/2006/relationships/hyperlink" Target="https://doi.org/10.1007/s10664-020-09830-x" TargetMode="External"/><Relationship Id="rId64" Type="http://schemas.openxmlformats.org/officeDocument/2006/relationships/hyperlink" Target="https://jeremylong.github.io/DependencyCheck/dependency-check-maven/index.html" TargetMode="External"/><Relationship Id="rId65" Type="http://schemas.openxmlformats.org/officeDocument/2006/relationships/hyperlink" Target="https://doi.org/10.1109/IWESEP.2018.00013" TargetMode="External"/><Relationship Id="rId66" Type="http://schemas.openxmlformats.org/officeDocument/2006/relationships/hyperlink" Target="https://doi.org/10.1109/ICSE.2012.6227141" TargetMode="External"/><Relationship Id="rId67" Type="http://schemas.openxmlformats.org/officeDocument/2006/relationships/hyperlink" Target="https://doi.org/10.1007/s10664-020-09914-8" TargetMode="External"/><Relationship Id="rId68" Type="http://schemas.openxmlformats.org/officeDocument/2006/relationships/hyperlink" Target="https://www.synopsys.com/software-integrity/resources/analyst-reports/open-source-security-risk-analysis.html" TargetMode="External"/><Relationship Id="rId69" Type="http://schemas.openxmlformats.org/officeDocument/2006/relationships/hyperlink" Target="https://www.github.com/npm/security-holder#read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