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60"/>
        <w:ind w:left="0" w:right="0"/>
      </w:pPr>
    </w:p>
    <w:p>
      <w:pPr>
        <w:autoSpaceDN w:val="0"/>
        <w:autoSpaceDE w:val="0"/>
        <w:widowControl/>
        <w:spacing w:line="398" w:lineRule="exact" w:before="46" w:after="58"/>
        <w:ind w:left="0" w:right="144" w:firstLine="0"/>
        <w:jc w:val="center"/>
      </w:pPr>
      <w:r>
        <w:rPr>
          <w:w w:val="101.26706291647518"/>
          <w:rFonts w:ascii="LinBiolinumTB" w:hAnsi="LinBiolinumTB" w:eastAsia="LinBiolinumTB"/>
          <w:b/>
          <w:i w:val="0"/>
          <w:color w:val="000000"/>
          <w:sz w:val="34"/>
        </w:rPr>
        <w:t xml:space="preserve">Anvil - System Architecture and Experiences from Deployment </w:t>
      </w:r>
      <w:r>
        <w:rPr>
          <w:w w:val="101.26706291647518"/>
          <w:rFonts w:ascii="LinBiolinumTB" w:hAnsi="LinBiolinumTB" w:eastAsia="LinBiolinumTB"/>
          <w:b/>
          <w:i w:val="0"/>
          <w:color w:val="000000"/>
          <w:sz w:val="34"/>
        </w:rPr>
        <w:t>and Early User Operations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83"/>
        <w:gridCol w:w="3383"/>
        <w:gridCol w:w="3383"/>
      </w:tblGrid>
      <w:tr>
        <w:trPr>
          <w:trHeight w:hRule="exact" w:val="920"/>
        </w:trPr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54" w:after="0"/>
              <w:ind w:left="432" w:right="72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Carol X. Song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54" w:after="0"/>
              <w:ind w:left="720" w:right="72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Preston Smith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54" w:after="0"/>
              <w:ind w:left="720" w:right="432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Rajesh Kalyanam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</w:tr>
      <w:tr>
        <w:trPr>
          <w:trHeight w:hRule="exact" w:val="920"/>
        </w:trPr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2" w:after="0"/>
              <w:ind w:left="432" w:right="72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Xiao Zhu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2" w:after="0"/>
              <w:ind w:left="720" w:right="72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Eric W. Adams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2" w:after="0"/>
              <w:ind w:left="720" w:right="432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Kevin D. Colby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</w:tr>
      <w:tr>
        <w:trPr>
          <w:trHeight w:hRule="exact" w:val="920"/>
        </w:trPr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8" w:after="0"/>
              <w:ind w:left="288" w:right="72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Patrick T. Finnegan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8" w:after="0"/>
              <w:ind w:left="720" w:right="72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Erik Gough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8" w:after="0"/>
              <w:ind w:left="720" w:right="432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Elizabett Hillery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</w:tr>
      <w:tr>
        <w:trPr>
          <w:trHeight w:hRule="exact" w:val="858"/>
        </w:trPr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76" w:after="0"/>
              <w:ind w:left="432" w:right="72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Rick Irvine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76" w:after="0"/>
              <w:ind w:left="720" w:right="72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Amiya K. Maji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76" w:after="0"/>
              <w:ind w:left="720" w:right="432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Jason St. John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Purdue University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West Lafayette, USA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6"/>
        <w:ind w:left="0" w:right="0"/>
      </w:pPr>
    </w:p>
    <w:p>
      <w:pPr>
        <w:sectPr>
          <w:pgSz w:w="12240" w:h="15840"/>
          <w:pgMar w:top="780" w:right="1026" w:bottom="822" w:left="1066" w:header="720" w:footer="720" w:gutter="0"/>
          <w:cols w:space="720" w:num="1" w:equalWidth="0"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1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>ABSTRACT</w:t>
      </w:r>
    </w:p>
    <w:p>
      <w:pPr>
        <w:autoSpaceDN w:val="0"/>
        <w:autoSpaceDE w:val="0"/>
        <w:widowControl/>
        <w:spacing w:line="220" w:lineRule="exact" w:before="28" w:after="0"/>
        <w:ind w:left="10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Anvil is a new XSEDE advanced capacity computational resource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funded by NSF. Designed with a systematic strategy to meet the ever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increasing and diversifying research needs for advanced computa-</w:t>
      </w:r>
      <w:r>
        <w:rPr>
          <w:w w:val="98.725954691569"/>
          <w:rFonts w:ascii="LinLibertineT" w:hAnsi="LinLibertineT" w:eastAsia="LinLibertineT"/>
          <w:b w:val="0"/>
          <w:i w:val="0"/>
          <w:color w:val="000000"/>
          <w:sz w:val="18"/>
        </w:rPr>
        <w:t xml:space="preserve">tional capacity, Anvil integrates a large capacity high-performance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computing (HPC) system with a comprehensive ecosystem of soft-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ware, access interfaces, programming environments, and compos-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able services in a seamless environment to support a broad range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current and future science and engineering applications of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nation’s research community. Anchored by a 1000-node CPU clus-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ter featuring the latest AMD EPYC 3rd generation (Milan) proces-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sors, along with a set of 1TB large memory and NVIDIA A100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GPU nodes, Anvil integrates a multi-tier storage system, a Kuber-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netes composable subsystem, and a pathway to Azure commercial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cloud to support a variety of workflows and storage needs. Anvil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was successfully deployed and integrated with XSEDE during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world-wide COVID-19 pandemic. Entering production operation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 February 2022, Anvil will serve the nation’s science and engi-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neering research community for five years. This paper describes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Anvil system and services, including its various components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subsystems, user facing features, and shares the Anvil team’s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experience through its early user access program from November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2021 through January 2022.</w:t>
      </w:r>
    </w:p>
    <w:p>
      <w:pPr>
        <w:autoSpaceDN w:val="0"/>
        <w:autoSpaceDE w:val="0"/>
        <w:widowControl/>
        <w:spacing w:line="292" w:lineRule="exact" w:before="158" w:after="2"/>
        <w:ind w:left="1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>CCS CONCEPTS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85" w:type="dxa"/>
      </w:tblPr>
      <w:tblGrid>
        <w:gridCol w:w="10148"/>
      </w:tblGrid>
      <w:tr>
        <w:trPr>
          <w:trHeight w:hRule="exact" w:val="772"/>
        </w:trPr>
        <w:tc>
          <w:tcPr>
            <w:tcW w:type="dxa" w:w="48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0" w:after="0"/>
              <w:ind w:left="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•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 Computer systems organization</w:t>
            </w:r>
            <w:r>
              <w:rPr>
                <w:w w:val="98.62537384033203"/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•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 Hardware</w:t>
            </w:r>
            <w:r>
              <w:rPr>
                <w:w w:val="98.62537384033203"/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 •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 xml:space="preserve"> Computing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methodologies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8"/>
              </w:rPr>
              <w:t xml:space="preserve"> →</w:t>
            </w:r>
            <w:r>
              <w:rPr>
                <w:rFonts w:ascii="LinLibertineTI" w:hAnsi="LinLibertineTI" w:eastAsia="LinLibertineTI"/>
                <w:b w:val="0"/>
                <w:i/>
                <w:color w:val="000000"/>
                <w:sz w:val="18"/>
              </w:rPr>
              <w:t xml:space="preserve"> Parallel computing methodologies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LinLibertineTI" w:hAnsi="LinLibertineTI" w:eastAsia="LinLibertineTI"/>
                <w:b w:val="0"/>
                <w:i/>
                <w:color w:val="000000"/>
                <w:sz w:val="18"/>
              </w:rPr>
              <w:t xml:space="preserve"> Distributed </w:t>
            </w:r>
            <w:r>
              <w:rPr>
                <w:rFonts w:ascii="LinLibertineTI" w:hAnsi="LinLibertineTI" w:eastAsia="LinLibertineTI"/>
                <w:b w:val="0"/>
                <w:i/>
                <w:color w:val="000000"/>
                <w:sz w:val="18"/>
              </w:rPr>
              <w:t>computing methodologies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40" w:lineRule="auto" w:before="56" w:after="0"/>
        <w:ind w:left="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2460" cy="223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223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0" w:lineRule="exact" w:before="34" w:after="0"/>
        <w:ind w:left="6" w:right="72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This work is licensed under a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0" w:history="1">
          <w:r>
            <w:rPr>
              <w:rStyle w:val="Hyperlink"/>
            </w:rPr>
            <w:t xml:space="preserve"> Creative Commons Attribution International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0" w:history="1">
          <w:r>
            <w:rPr>
              <w:rStyle w:val="Hyperlink"/>
            </w:rPr>
            <w:t>4.0 License.</w:t>
          </w:r>
        </w:hyperlink>
      </w:r>
    </w:p>
    <w:p>
      <w:pPr>
        <w:autoSpaceDN w:val="0"/>
        <w:autoSpaceDE w:val="0"/>
        <w:widowControl/>
        <w:spacing w:line="164" w:lineRule="exact" w:before="178" w:after="0"/>
        <w:ind w:left="0" w:right="2304" w:firstLine="10"/>
        <w:jc w:val="left"/>
      </w:pPr>
      <w:r>
        <w:rPr>
          <w:rFonts w:ascii="LinLibertineTI" w:hAnsi="LinLibertineTI" w:eastAsia="LinLibertineTI"/>
          <w:b w:val="0"/>
          <w:i/>
          <w:color w:val="000000"/>
          <w:sz w:val="14"/>
        </w:rPr>
        <w:t>PEARC ’22, July 10–14, 2022, Boston, MA, USA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© 2022 Copyright held by the owner/author(s).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ACM ISBN 978-1-4503-9161-0/22/07.</w:t>
      </w:r>
    </w:p>
    <w:p>
      <w:pPr>
        <w:autoSpaceDN w:val="0"/>
        <w:autoSpaceDE w:val="0"/>
        <w:widowControl/>
        <w:spacing w:line="192" w:lineRule="exact" w:before="0" w:after="0"/>
        <w:ind w:left="1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11" w:history="1">
          <w:r>
            <w:rPr>
              <w:rStyle w:val="Hyperlink"/>
            </w:rPr>
            <w:t>https://doi.org/10.1145/3491418.3530766</w:t>
          </w:r>
        </w:hyperlink>
      </w:r>
    </w:p>
    <w:p>
      <w:pPr>
        <w:sectPr>
          <w:type w:val="continuous"/>
          <w:pgSz w:w="12240" w:h="15840"/>
          <w:pgMar w:top="780" w:right="1026" w:bottom="822" w:left="1066" w:header="720" w:footer="720" w:gutter="0"/>
          <w:cols w:space="720" w:num="2" w:equalWidth="0"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16" w:after="0"/>
        <w:ind w:left="234" w:right="0" w:hanging="6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6"/>
        </w:rPr>
        <w:t xml:space="preserve">ACM Reference Format: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Carol X. Song, Preston Smith, Rajesh Kalyanam, Xiao Zhu, Eric W. Adams,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Kevin D. Colby, Patrick T. Finnegan, Erik Gough, Elizabett Hillery, Rick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Irvine, Amiya K. Maji, and Jason St. John. 2022. Anvil - System Architecture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and Experiences from Deployment and Early User Operations. In</w:t>
      </w:r>
      <w:r>
        <w:rPr>
          <w:rFonts w:ascii="LinLibertineTI" w:hAnsi="LinLibertineTI" w:eastAsia="LinLibertineTI"/>
          <w:b w:val="0"/>
          <w:i/>
          <w:color w:val="000000"/>
          <w:sz w:val="16"/>
        </w:rPr>
        <w:t xml:space="preserve"> Practice</w:t>
      </w:r>
    </w:p>
    <w:p>
      <w:pPr>
        <w:autoSpaceDN w:val="0"/>
        <w:autoSpaceDE w:val="0"/>
        <w:widowControl/>
        <w:spacing w:line="196" w:lineRule="exact" w:before="4" w:after="0"/>
        <w:ind w:left="230" w:right="32" w:firstLine="0"/>
        <w:jc w:val="both"/>
      </w:pPr>
      <w:r>
        <w:rPr>
          <w:rFonts w:ascii="LinLibertineTI" w:hAnsi="LinLibertineTI" w:eastAsia="LinLibertineTI"/>
          <w:b w:val="0"/>
          <w:i/>
          <w:color w:val="000000"/>
          <w:sz w:val="16"/>
        </w:rPr>
        <w:t xml:space="preserve">and Experience in Advanced Research Computing (PEARC ’22), July 10–14, </w:t>
      </w:r>
      <w:r>
        <w:rPr>
          <w:rFonts w:ascii="LinLibertineTI" w:hAnsi="LinLibertineTI" w:eastAsia="LinLibertineTI"/>
          <w:b w:val="0"/>
          <w:i/>
          <w:color w:val="000000"/>
          <w:sz w:val="16"/>
        </w:rPr>
        <w:t>2022, Boston, MA, USA.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ACM, New York, NY, USA, 9 pages.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 xml:space="preserve">https://doi.org/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10.1145/3491418.3530766</w:t>
          </w:r>
        </w:hyperlink>
      </w:r>
    </w:p>
    <w:p>
      <w:pPr>
        <w:autoSpaceDN w:val="0"/>
        <w:tabs>
          <w:tab w:pos="564" w:val="left"/>
        </w:tabs>
        <w:autoSpaceDE w:val="0"/>
        <w:widowControl/>
        <w:spacing w:line="294" w:lineRule="exact" w:before="290" w:after="0"/>
        <w:ind w:left="23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1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20" w:lineRule="exact" w:before="28" w:after="0"/>
        <w:ind w:left="234" w:right="0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demand for diverse modalities of computational capacity is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increasing more rapidly than the current national advanced comput-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ing infrastructure - XSEDE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15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16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 - can accommodate primarily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due to the convergence of two trends: traditionally computing inten-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sive domains are growing exponentially, and new and more diverse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research domains are emerging as major computational resource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users. This convergence highlights three main challenges to meet-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ing the rapidly evolving landscape of computational needs: (1)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ever-increasing need for computational resources in almost all do-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mains of science and engineering (S&amp;E); (2) the new computational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paradigms (e.g., non-batch computing, AI/ML) and expansion to </w:t>
      </w:r>
      <w:r>
        <w:rPr>
          <w:w w:val="98.97697236802843"/>
          <w:rFonts w:ascii="LinLibertineT" w:hAnsi="LinLibertineT" w:eastAsia="LinLibertineT"/>
          <w:b w:val="0"/>
          <w:i w:val="0"/>
          <w:color w:val="000000"/>
          <w:sz w:val="18"/>
        </w:rPr>
        <w:t xml:space="preserve">non-traditional HPC domains, and (3) training the next generation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researchers and workforce for cyberinfrastructure (CI) sustainabil-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ity.</w:t>
      </w:r>
    </w:p>
    <w:p>
      <w:pPr>
        <w:autoSpaceDN w:val="0"/>
        <w:autoSpaceDE w:val="0"/>
        <w:widowControl/>
        <w:spacing w:line="220" w:lineRule="exact" w:before="28" w:after="0"/>
        <w:ind w:left="228" w:right="0" w:firstLine="19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Employing a systematic strategy to meeting these needs, a Pur-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due University Rosen Center for Advanced Computing team has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developed and deployed Anvil, a new national advanced com-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putational resource, and a broad range of capabilities and ser-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vices. Funded by the NSF, Anvil combines a large-capacity high-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performance computing cluster with a comprehensive ecosystem of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software, access interfaces, programming environments, and com-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posable services to form a seamless environment able to support a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broad range of current and future S&amp;E applications. Anvil is inte-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grated with XSEDE and has been operating and supporting users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since November 1, 2021. To date nearly 117M CPU service units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(SUs) and 290K GPU SUs have been allocated on Anvil through the</w:t>
      </w:r>
    </w:p>
    <w:p>
      <w:pPr>
        <w:sectPr>
          <w:type w:val="nextColumn"/>
          <w:pgSz w:w="12240" w:h="15840"/>
          <w:pgMar w:top="780" w:right="1026" w:bottom="822" w:left="1066" w:header="720" w:footer="720" w:gutter="0"/>
          <w:cols w:space="720" w:num="2" w:equalWidth="0"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3381"/>
        <w:gridCol w:w="3381"/>
        <w:gridCol w:w="3381"/>
      </w:tblGrid>
      <w:tr>
        <w:trPr>
          <w:trHeight w:hRule="exact" w:val="278"/>
        </w:trPr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4"/>
              </w:rPr>
              <w:t>PEARC ’22, July 10–14, 2022, Boston, MA, USA</w:t>
            </w:r>
          </w:p>
        </w:tc>
        <w:tc>
          <w:tcPr>
            <w:tcW w:type="dxa" w:w="3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24" w:after="0"/>
              <w:ind w:left="52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Features</w:t>
            </w:r>
          </w:p>
        </w:tc>
        <w:tc>
          <w:tcPr>
            <w:tcW w:type="dxa" w:w="3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1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4"/>
              </w:rPr>
              <w:t>Song, et al.</w:t>
            </w:r>
          </w:p>
        </w:tc>
      </w:tr>
      <w:tr>
        <w:trPr>
          <w:trHeight w:hRule="exact" w:val="446"/>
        </w:trPr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6" w:after="0"/>
              <w:ind w:left="0" w:right="510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8"/>
              </w:rPr>
              <w:t>Component</w:t>
            </w:r>
          </w:p>
        </w:tc>
        <w:tc>
          <w:tcPr>
            <w:tcW w:type="dxa" w:w="3381"/>
            <w:vMerge/>
            <w:tcBorders/>
          </w:tcPr>
          <w:p/>
        </w:tc>
        <w:tc>
          <w:tcPr>
            <w:tcW w:type="dxa" w:w="338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56.0000000000002" w:type="dxa"/>
      </w:tblPr>
      <w:tblGrid>
        <w:gridCol w:w="5072"/>
        <w:gridCol w:w="5072"/>
      </w:tblGrid>
      <w:tr>
        <w:trPr>
          <w:trHeight w:hRule="exact" w:val="666"/>
        </w:trPr>
        <w:tc>
          <w:tcPr>
            <w:tcW w:type="dxa" w:w="20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74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Standard Compute</w:t>
            </w:r>
          </w:p>
        </w:tc>
        <w:tc>
          <w:tcPr>
            <w:tcW w:type="dxa" w:w="45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0" w:after="0"/>
              <w:ind w:left="96" w:right="1008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1000 128-core Dell compute nodes, with 3rd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Generation AMD Epyc processors, with a peak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performance of 5.1 PF</w:t>
            </w:r>
          </w:p>
        </w:tc>
      </w:tr>
      <w:tr>
        <w:trPr>
          <w:trHeight w:hRule="exact" w:val="228"/>
        </w:trPr>
        <w:tc>
          <w:tcPr>
            <w:tcW w:type="dxa" w:w="20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Large Memory Compute</w:t>
            </w:r>
          </w:p>
        </w:tc>
        <w:tc>
          <w:tcPr>
            <w:tcW w:type="dxa" w:w="45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32 large memory compute nodes each with 1 TB of memory</w:t>
            </w:r>
          </w:p>
        </w:tc>
      </w:tr>
      <w:tr>
        <w:trPr>
          <w:trHeight w:hRule="exact" w:val="446"/>
        </w:trPr>
        <w:tc>
          <w:tcPr>
            <w:tcW w:type="dxa" w:w="20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4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GPU Compute</w:t>
            </w:r>
          </w:p>
        </w:tc>
        <w:tc>
          <w:tcPr>
            <w:tcW w:type="dxa" w:w="45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96" w:right="864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A total of 64 Nvidia A100 GPUs providing an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additional 1.5 PF of single-precision performance</w:t>
            </w:r>
          </w:p>
        </w:tc>
      </w:tr>
      <w:tr>
        <w:trPr>
          <w:trHeight w:hRule="exact" w:val="228"/>
        </w:trPr>
        <w:tc>
          <w:tcPr>
            <w:tcW w:type="dxa" w:w="20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Interconnect</w:t>
            </w:r>
          </w:p>
        </w:tc>
        <w:tc>
          <w:tcPr>
            <w:tcW w:type="dxa" w:w="45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HDR100 Infiniband, 3:1 fat tree</w:t>
            </w:r>
          </w:p>
        </w:tc>
      </w:tr>
      <w:tr>
        <w:trPr>
          <w:trHeight w:hRule="exact" w:val="446"/>
        </w:trPr>
        <w:tc>
          <w:tcPr>
            <w:tcW w:type="dxa" w:w="20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2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Data Storage</w:t>
            </w:r>
          </w:p>
        </w:tc>
        <w:tc>
          <w:tcPr>
            <w:tcW w:type="dxa" w:w="45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8" w:after="0"/>
              <w:ind w:left="96" w:right="576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 xml:space="preserve">Arcastream Pixstor - 10 PB DDN storage, (disk tier),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3 PB of Dell storage (flash tier)</w:t>
            </w:r>
          </w:p>
        </w:tc>
      </w:tr>
      <w:tr>
        <w:trPr>
          <w:trHeight w:hRule="exact" w:val="226"/>
        </w:trPr>
        <w:tc>
          <w:tcPr>
            <w:tcW w:type="dxa" w:w="20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Composable System</w:t>
            </w:r>
          </w:p>
        </w:tc>
        <w:tc>
          <w:tcPr>
            <w:tcW w:type="dxa" w:w="45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8"/>
              </w:rPr>
              <w:t>8 composable compute nodes, managed by Kubernetes</w:t>
            </w:r>
          </w:p>
        </w:tc>
      </w:tr>
    </w:tbl>
    <w:p>
      <w:pPr>
        <w:autoSpaceDN w:val="0"/>
        <w:autoSpaceDE w:val="0"/>
        <w:widowControl/>
        <w:spacing w:line="240" w:lineRule="exact" w:before="0" w:after="544"/>
        <w:ind w:left="0" w:right="0" w:firstLine="0"/>
        <w:jc w:val="center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Table 1: Anvil System Specifications</w:t>
      </w:r>
    </w:p>
    <w:p>
      <w:pPr>
        <w:sectPr>
          <w:pgSz w:w="12240" w:h="15840"/>
          <w:pgMar w:top="610" w:right="1026" w:bottom="822" w:left="1070" w:header="720" w:footer="720" w:gutter="0"/>
          <w:cols w:space="720" w:num="1" w:equalWidth="0"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6" w:after="0"/>
        <w:ind w:left="0" w:right="252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quarterly XSEDE allocation process (XRAC). Anvil also provides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nearly 20M CPU and 30K GPU SUs to researchers as part of the 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 xml:space="preserve">COVID-19 HPC Consortium. In the following sections we describe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how the increasing need for computational resources has driven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Anvil system architecture, the various innovative capabilities that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support new computational paradigms and non-traditional HPC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users and domains, as well as our ongoing and planned workforce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development activities to train the next generation CI workforce.</w:t>
      </w:r>
    </w:p>
    <w:p>
      <w:pPr>
        <w:autoSpaceDN w:val="0"/>
        <w:tabs>
          <w:tab w:pos="336" w:val="left"/>
        </w:tabs>
        <w:autoSpaceDE w:val="0"/>
        <w:widowControl/>
        <w:spacing w:line="294" w:lineRule="exact" w:before="378" w:after="0"/>
        <w:ind w:left="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2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ARCHITECTURE</w:t>
      </w:r>
    </w:p>
    <w:p>
      <w:pPr>
        <w:autoSpaceDN w:val="0"/>
        <w:autoSpaceDE w:val="0"/>
        <w:widowControl/>
        <w:spacing w:line="220" w:lineRule="exact" w:before="28" w:after="0"/>
        <w:ind w:left="6" w:right="144" w:hanging="6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The Anvil system design was motivated by two main considerations.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Firstly, Anvil is to deliver a large quantity of computing power to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support a large number of current and future science and engineer-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ing applications. Based on our analysis of workloads on XSEDE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Purdue clusters, Anvil is optimized to support moderate-sized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workloads (e.g., under 1024 cores) while also allowing wider jobs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to run on the system. Anvil’s 128-core compute nodes were chosen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after analysis of XSEDE usage data, which revealed that such a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node could support significant fractions of today’s workloads 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XSEDE. The expected major growth in Python, R, notebooks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AI applications has led to the optimization of Anvil for both tradi-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tional and emerging scientific workloads. Secondly, recognizing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changing application landscape on HPC systems where complex </w:t>
      </w:r>
      <w:r>
        <w:rPr>
          <w:w w:val="98.92681969536675"/>
          <w:rFonts w:ascii="LinLibertineT" w:hAnsi="LinLibertineT" w:eastAsia="LinLibertineT"/>
          <w:b w:val="0"/>
          <w:i w:val="0"/>
          <w:color w:val="000000"/>
          <w:sz w:val="18"/>
        </w:rPr>
        <w:t xml:space="preserve">workflows, data-driven computations, and interactive explorations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at all scales are becoming more common, Anvil complements its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core HPC system with composable edge services, a variety of stor-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age types and access interfaces to meet these needs and make Anvil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more accessible to a broader audience. These considerations have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impacted Anvil’s design decisions, including the selection of the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type of nodes, interconnect, queues, storage types, and the software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ecosystem.</w:t>
      </w:r>
    </w:p>
    <w:p>
      <w:pPr>
        <w:autoSpaceDN w:val="0"/>
        <w:tabs>
          <w:tab w:pos="206" w:val="left"/>
        </w:tabs>
        <w:autoSpaceDE w:val="0"/>
        <w:widowControl/>
        <w:spacing w:line="220" w:lineRule="exact" w:before="28" w:after="0"/>
        <w:ind w:left="6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Built in partnership with Dell, Anvil consists of the following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components, summarized in Table 1.</w:t>
      </w:r>
    </w:p>
    <w:p>
      <w:pPr>
        <w:autoSpaceDN w:val="0"/>
        <w:autoSpaceDE w:val="0"/>
        <w:widowControl/>
        <w:spacing w:line="216" w:lineRule="exact" w:before="46" w:after="0"/>
        <w:ind w:left="0" w:right="144" w:firstLine="20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Compute: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The Anvil compute system consists of 1000 base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compute nodes based on the AMD 3rd generation EPYC 7763 64-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core (Milan) processor. Each compute node features two 7763 CPUs,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and 256 GB of RAM. The CPU partition delivers up to 5.1 TeraFLOPS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(TF) of peak performance per node, for a total of 5.1 PetaFLOPS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(PF).</w:t>
      </w:r>
    </w:p>
    <w:p>
      <w:pPr>
        <w:autoSpaceDN w:val="0"/>
        <w:autoSpaceDE w:val="0"/>
        <w:widowControl/>
        <w:spacing w:line="220" w:lineRule="exact" w:before="28" w:after="0"/>
        <w:ind w:left="6" w:right="144" w:firstLine="200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The base compute nodes are complemented by 32 large-memory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nodes with 1 TB of RAM each, and 16 GPU compute nodes, each</w:t>
      </w:r>
    </w:p>
    <w:p>
      <w:pPr>
        <w:sectPr>
          <w:type w:val="continuous"/>
          <w:pgSz w:w="12240" w:h="15840"/>
          <w:pgMar w:top="610" w:right="1026" w:bottom="822" w:left="1070" w:header="720" w:footer="720" w:gutter="0"/>
          <w:cols w:space="720" w:num="2" w:equalWidth="0"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6" w:after="0"/>
        <w:ind w:left="228" w:right="0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with 4 NVIDIA A100 GPUs. The GPU subsystem provides a total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of 64 GPUs, with 1.5 PF of single-precision performance.</w:t>
      </w:r>
    </w:p>
    <w:p>
      <w:pPr>
        <w:autoSpaceDN w:val="0"/>
        <w:autoSpaceDE w:val="0"/>
        <w:widowControl/>
        <w:spacing w:line="216" w:lineRule="exact" w:before="44" w:after="0"/>
        <w:ind w:left="228" w:right="30" w:firstLine="198"/>
        <w:jc w:val="both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Storage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: The primary file storage platform is a 13 PB raw (11 PB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usable) parallel filesystem based on Arcastream’s Pixstor product,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utilizing disk storage from DDN and flash storage from Dell. Based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on Spectrum Scale, Pixstor provides a multi-tier filesystem utilizing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flash to accelerate writes and actively read files, and provides a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policy engine to migrate data to the large-capacity disk tier.</w:t>
      </w:r>
    </w:p>
    <w:p>
      <w:pPr>
        <w:autoSpaceDN w:val="0"/>
        <w:autoSpaceDE w:val="0"/>
        <w:widowControl/>
        <w:spacing w:line="220" w:lineRule="exact" w:before="28" w:after="0"/>
        <w:ind w:left="220" w:right="0" w:firstLine="19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Pixstor filesystem also provides persistent file storage for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active allocations, and a repository for commonly used datasets.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Anvil users can leverage Purdue’s HPSS-based Fortress tape archive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for longer-term storage for active allocations. Anvil’s home direc-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tories and application software are provided by a dedicated ZFS file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server with a total capacity of 51 TB.</w:t>
      </w:r>
    </w:p>
    <w:p>
      <w:pPr>
        <w:autoSpaceDN w:val="0"/>
        <w:autoSpaceDE w:val="0"/>
        <w:widowControl/>
        <w:spacing w:line="216" w:lineRule="exact" w:before="44" w:after="0"/>
        <w:ind w:left="228" w:right="50" w:firstLine="198"/>
        <w:jc w:val="both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Composable Subsystem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: Anvil’s composable subsystem is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based on 8 large memory compute nodes with 1 TB of RAM,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6 TB of local storage. The composable subsystem is managed via </w:t>
      </w:r>
      <w:r>
        <w:rPr>
          <w:w w:val="98.87664582994249"/>
          <w:rFonts w:ascii="LinLibertineT" w:hAnsi="LinLibertineT" w:eastAsia="LinLibertineT"/>
          <w:b w:val="0"/>
          <w:i w:val="0"/>
          <w:color w:val="000000"/>
          <w:sz w:val="18"/>
        </w:rPr>
        <w:t>Kubernetes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3</w:t>
      </w:r>
      <w:r>
        <w:rPr>
          <w:w w:val="98.87664582994249"/>
          <w:rFonts w:ascii="LinLibertineT" w:hAnsi="LinLibertineT" w:eastAsia="LinLibertineT"/>
          <w:b w:val="0"/>
          <w:i w:val="0"/>
          <w:color w:val="000000"/>
          <w:sz w:val="18"/>
        </w:rPr>
        <w:t>], with Rancher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14</w:t>
      </w:r>
      <w:r>
        <w:rPr>
          <w:w w:val="98.87664582994249"/>
          <w:rFonts w:ascii="LinLibertineT" w:hAnsi="LinLibertineT" w:eastAsia="LinLibertineT"/>
          <w:b w:val="0"/>
          <w:i w:val="0"/>
          <w:color w:val="000000"/>
          <w:sz w:val="18"/>
        </w:rPr>
        <w:t xml:space="preserve">] software providing a GUI-based 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>control plane and Ceph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18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 xml:space="preserve">] providing block, filesystem and object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storage.</w:t>
      </w:r>
    </w:p>
    <w:p>
      <w:pPr>
        <w:autoSpaceDN w:val="0"/>
        <w:tabs>
          <w:tab w:pos="558" w:val="left"/>
        </w:tabs>
        <w:autoSpaceDE w:val="0"/>
        <w:widowControl/>
        <w:spacing w:line="292" w:lineRule="exact" w:before="248" w:after="0"/>
        <w:ind w:left="22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3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INNOVATIVE CAPABILITIES</w:t>
      </w:r>
    </w:p>
    <w:p>
      <w:pPr>
        <w:autoSpaceDN w:val="0"/>
        <w:autoSpaceDE w:val="0"/>
        <w:widowControl/>
        <w:spacing w:line="220" w:lineRule="exact" w:before="28" w:after="0"/>
        <w:ind w:left="228" w:right="0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Anvil offers a number of innovative capabilities in response to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changing landscape of research applications and HPC user base.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Traditional HPC users benefit from powerful tools like container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distributions for easy access to applications, while nontraditional </w:t>
      </w:r>
      <w:r>
        <w:rPr>
          <w:w w:val="98.725954691569"/>
          <w:rFonts w:ascii="LinLibertineT" w:hAnsi="LinLibertineT" w:eastAsia="LinLibertineT"/>
          <w:b w:val="0"/>
          <w:i w:val="0"/>
          <w:color w:val="000000"/>
          <w:sz w:val="18"/>
        </w:rPr>
        <w:t xml:space="preserve">HPC users and training activities can take advantage of interactive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computing capabilities that reduce the barrier to entry to HPC,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leverage composable technologies that complement Anvil’s batch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computing capabilities.</w:t>
      </w:r>
    </w:p>
    <w:p>
      <w:pPr>
        <w:autoSpaceDN w:val="0"/>
        <w:tabs>
          <w:tab w:pos="722" w:val="left"/>
        </w:tabs>
        <w:autoSpaceDE w:val="0"/>
        <w:widowControl/>
        <w:spacing w:line="294" w:lineRule="exact" w:before="248" w:after="0"/>
        <w:ind w:left="22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3.1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Software Ecosystem</w:t>
      </w:r>
    </w:p>
    <w:p>
      <w:pPr>
        <w:autoSpaceDN w:val="0"/>
        <w:autoSpaceDE w:val="0"/>
        <w:widowControl/>
        <w:spacing w:line="220" w:lineRule="exact" w:before="28" w:after="0"/>
        <w:ind w:left="144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Anvil provides a diverse suite of software including compilers, de-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buggers, visualization libraries, development environments,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other commonly used application software. The Spack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7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] pack-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age management tool is used to manage multiple library versions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and configurations for ease of compilation and continuous deploy-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ment. Lmod and the module system are used to manage the user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environment, allowing users to easily load the requisite software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and dependencies while also ensuring the appropriate Linux en-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vironment variables are set. Anvil also provides “canonical” CPU</w:t>
      </w:r>
    </w:p>
    <w:p>
      <w:pPr>
        <w:sectPr>
          <w:type w:val="nextColumn"/>
          <w:pgSz w:w="12240" w:h="15840"/>
          <w:pgMar w:top="610" w:right="1026" w:bottom="822" w:left="1070" w:header="720" w:footer="720" w:gutter="0"/>
          <w:cols w:space="720" w:num="2" w:equalWidth="0"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1649730</wp:posOffset>
            </wp:positionH>
            <wp:positionV relativeFrom="page">
              <wp:posOffset>2839720</wp:posOffset>
            </wp:positionV>
            <wp:extent cx="434339" cy="43433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39" cy="4343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3450590</wp:posOffset>
            </wp:positionH>
            <wp:positionV relativeFrom="page">
              <wp:posOffset>2834640</wp:posOffset>
            </wp:positionV>
            <wp:extent cx="434339" cy="43433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39" cy="4343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2839720</wp:posOffset>
            </wp:positionV>
            <wp:extent cx="433070" cy="43307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4330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2759710</wp:posOffset>
            </wp:positionH>
            <wp:positionV relativeFrom="page">
              <wp:posOffset>2258060</wp:posOffset>
            </wp:positionV>
            <wp:extent cx="434339" cy="1017685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39" cy="10176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5186680</wp:posOffset>
            </wp:positionH>
            <wp:positionV relativeFrom="page">
              <wp:posOffset>2839720</wp:posOffset>
            </wp:positionV>
            <wp:extent cx="434340" cy="43434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4343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5654040</wp:posOffset>
            </wp:positionH>
            <wp:positionV relativeFrom="page">
              <wp:posOffset>2832100</wp:posOffset>
            </wp:positionV>
            <wp:extent cx="433070" cy="43307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4330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5019040</wp:posOffset>
            </wp:positionH>
            <wp:positionV relativeFrom="page">
              <wp:posOffset>3317240</wp:posOffset>
            </wp:positionV>
            <wp:extent cx="715010" cy="389143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5010" cy="3891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5755640</wp:posOffset>
            </wp:positionH>
            <wp:positionV relativeFrom="page">
              <wp:posOffset>3317240</wp:posOffset>
            </wp:positionV>
            <wp:extent cx="384810" cy="38481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1855470</wp:posOffset>
            </wp:positionH>
            <wp:positionV relativeFrom="page">
              <wp:posOffset>1252220</wp:posOffset>
            </wp:positionV>
            <wp:extent cx="548640" cy="54864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486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1485900</wp:posOffset>
            </wp:positionV>
            <wp:extent cx="910589" cy="606013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6060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2766060</wp:posOffset>
            </wp:positionH>
            <wp:positionV relativeFrom="page">
              <wp:posOffset>1223010</wp:posOffset>
            </wp:positionV>
            <wp:extent cx="427989" cy="427989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89" cy="4279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2816860</wp:posOffset>
            </wp:positionH>
            <wp:positionV relativeFrom="page">
              <wp:posOffset>1799589</wp:posOffset>
            </wp:positionV>
            <wp:extent cx="320039" cy="320039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39" cy="3200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3691890</wp:posOffset>
            </wp:positionH>
            <wp:positionV relativeFrom="page">
              <wp:posOffset>2379980</wp:posOffset>
            </wp:positionV>
            <wp:extent cx="248920" cy="247643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" cy="2476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1346200</wp:posOffset>
            </wp:positionV>
            <wp:extent cx="4508500" cy="23368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336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612" w:right="1026" w:bottom="822" w:left="1070" w:header="720" w:footer="720" w:gutter="0"/>
          <w:cols w:space="720" w:num="2" w:equalWidth="0"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704"/>
        <w:ind w:left="2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>Anvil - System Architecture and Experiences from Deployment and Early User Operations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10.0" w:type="dxa"/>
      </w:tblPr>
      <w:tblGrid>
        <w:gridCol w:w="5072"/>
        <w:gridCol w:w="5072"/>
      </w:tblGrid>
      <w:tr>
        <w:trPr>
          <w:trHeight w:hRule="exact" w:val="328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60" w:after="0"/>
              <w:ind w:left="0" w:right="61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4x 100GbE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182" w:after="0"/>
              <w:ind w:left="0" w:right="70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25 GbE each</w:t>
            </w:r>
          </w:p>
        </w:tc>
      </w:tr>
    </w:tbl>
    <w:p>
      <w:pPr>
        <w:autoSpaceDN w:val="0"/>
        <w:autoSpaceDE w:val="0"/>
        <w:widowControl/>
        <w:spacing w:line="122" w:lineRule="exact" w:before="26" w:after="0"/>
        <w:ind w:left="0" w:right="2466" w:firstLine="0"/>
        <w:jc w:val="right"/>
      </w:pPr>
      <w:r>
        <w:rPr>
          <w:rFonts w:ascii="" w:hAnsi="" w:eastAsia=""/>
          <w:b w:val="0"/>
          <w:i w:val="0"/>
          <w:color w:val="000000"/>
          <w:sz w:val="10"/>
        </w:rPr>
        <w:t>IP Routers</w:t>
      </w:r>
    </w:p>
    <w:p>
      <w:pPr>
        <w:autoSpaceDN w:val="0"/>
        <w:tabs>
          <w:tab w:pos="3660" w:val="left"/>
        </w:tabs>
        <w:autoSpaceDE w:val="0"/>
        <w:widowControl/>
        <w:spacing w:line="176" w:lineRule="exact" w:before="0" w:after="0"/>
        <w:ind w:left="2118" w:right="0" w:firstLine="0"/>
        <w:jc w:val="left"/>
      </w:pPr>
      <w:r>
        <w:rPr>
          <w:rFonts w:ascii="" w:hAnsi="" w:eastAsia=""/>
          <w:b w:val="0"/>
          <w:i w:val="0"/>
          <w:color w:val="000000"/>
          <w:sz w:val="10"/>
        </w:rPr>
        <w:t xml:space="preserve">Internet </w:t>
      </w:r>
      <w:r>
        <w:tab/>
      </w:r>
      <w:r>
        <w:rPr>
          <w:rFonts w:ascii="" w:hAnsi="" w:eastAsia=""/>
          <w:b w:val="0"/>
          <w:i w:val="0"/>
          <w:color w:val="000000"/>
          <w:sz w:val="10"/>
        </w:rPr>
        <w:t>16x 100 GbE</w:t>
      </w:r>
    </w:p>
    <w:p>
      <w:pPr>
        <w:sectPr>
          <w:type w:val="continuous"/>
          <w:pgSz w:w="12240" w:h="15840"/>
          <w:pgMar w:top="612" w:right="1026" w:bottom="822" w:left="1070" w:header="720" w:footer="720" w:gutter="0"/>
          <w:cols w:space="720" w:num="2" w:equalWidth="0"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1766"/>
        <w:ind w:left="0" w:right="50" w:firstLine="0"/>
        <w:jc w:val="righ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>PEARC ’22, July 10–14, 2022, Boston, MA, USA</w:t>
      </w:r>
    </w:p>
    <w:p>
      <w:pPr>
        <w:sectPr>
          <w:type w:val="nextColumn"/>
          <w:pgSz w:w="12240" w:h="15840"/>
          <w:pgMar w:top="612" w:right="1026" w:bottom="822" w:left="1070" w:header="720" w:footer="720" w:gutter="0"/>
          <w:cols w:space="720" w:num="2" w:equalWidth="0"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22" w:lineRule="exact" w:before="0" w:after="0"/>
        <w:ind w:left="0" w:right="4754" w:firstLine="0"/>
        <w:jc w:val="right"/>
      </w:pPr>
      <w:r>
        <w:rPr>
          <w:rFonts w:ascii="" w:hAnsi="" w:eastAsia=""/>
          <w:b w:val="0"/>
          <w:i w:val="0"/>
          <w:color w:val="000000"/>
          <w:sz w:val="10"/>
        </w:rPr>
        <w:t xml:space="preserve">Login Nodes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10.0" w:type="dxa"/>
      </w:tblPr>
      <w:tblGrid>
        <w:gridCol w:w="2536"/>
        <w:gridCol w:w="2536"/>
        <w:gridCol w:w="2536"/>
        <w:gridCol w:w="2536"/>
      </w:tblGrid>
      <w:tr>
        <w:trPr>
          <w:trHeight w:hRule="exact" w:val="128"/>
        </w:trPr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124" w:after="0"/>
              <w:ind w:left="0" w:right="14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10x HDR200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38" w:after="0"/>
              <w:ind w:left="0" w:right="25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IPoIB Gateway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" w:after="0"/>
              <w:ind w:left="0" w:right="38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(8)</w:t>
            </w:r>
          </w:p>
        </w:tc>
        <w:tc>
          <w:tcPr>
            <w:tcW w:type="dxa" w:w="2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104" w:after="0"/>
              <w:ind w:left="37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10x HDR200</w:t>
            </w:r>
          </w:p>
        </w:tc>
      </w:tr>
      <w:tr>
        <w:trPr>
          <w:trHeight w:hRule="exact" w:val="100"/>
        </w:trPr>
        <w:tc>
          <w:tcPr>
            <w:tcW w:type="dxa" w:w="2536"/>
            <w:vMerge/>
            <w:tcBorders/>
          </w:tcPr>
          <w:p/>
        </w:tc>
        <w:tc>
          <w:tcPr>
            <w:tcW w:type="dxa" w:w="2536"/>
            <w:vMerge/>
            <w:tcBorders/>
          </w:tcPr>
          <w:p/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82" w:after="0"/>
              <w:ind w:left="25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HDR100</w:t>
            </w:r>
          </w:p>
        </w:tc>
        <w:tc>
          <w:tcPr>
            <w:tcW w:type="dxa" w:w="2536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2536"/>
            <w:vMerge/>
            <w:tcBorders/>
          </w:tcPr>
          <w:p/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66" w:after="0"/>
              <w:ind w:left="33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16x HDR100</w:t>
            </w:r>
          </w:p>
        </w:tc>
        <w:tc>
          <w:tcPr>
            <w:tcW w:type="dxa" w:w="2536"/>
            <w:vMerge/>
            <w:tcBorders/>
          </w:tcPr>
          <w:p/>
        </w:tc>
        <w:tc>
          <w:tcPr>
            <w:tcW w:type="dxa" w:w="2536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2536"/>
            <w:vMerge/>
            <w:tcBorders/>
          </w:tcPr>
          <w:p/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80" w:after="0"/>
              <w:ind w:left="24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 xml:space="preserve">IB 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98" w:after="0"/>
              <w:ind w:left="0" w:right="34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ZFS Fileserver</w:t>
            </w:r>
          </w:p>
        </w:tc>
        <w:tc>
          <w:tcPr>
            <w:tcW w:type="dxa" w:w="2536"/>
            <w:vMerge/>
            <w:tcBorders/>
          </w:tcPr>
          <w:p/>
        </w:tc>
      </w:tr>
      <w:tr>
        <w:trPr>
          <w:trHeight w:hRule="exact" w:val="436"/>
        </w:trPr>
        <w:tc>
          <w:tcPr>
            <w:tcW w:type="dxa" w:w="2536"/>
            <w:vMerge/>
            <w:tcBorders/>
          </w:tcPr>
          <w:p/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2" w:after="0"/>
              <w:ind w:left="17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Spine</w:t>
            </w:r>
          </w:p>
        </w:tc>
        <w:tc>
          <w:tcPr>
            <w:tcW w:type="dxa" w:w="2536"/>
            <w:vMerge/>
            <w:tcBorders/>
          </w:tcPr>
          <w:p/>
        </w:tc>
        <w:tc>
          <w:tcPr>
            <w:tcW w:type="dxa" w:w="25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2" w:lineRule="exact" w:before="192" w:after="60"/>
        <w:ind w:left="1104" w:right="0" w:firstLine="0"/>
        <w:jc w:val="left"/>
      </w:pPr>
      <w:r>
        <w:rPr>
          <w:rFonts w:ascii="" w:hAnsi="" w:eastAsia=""/>
          <w:b w:val="0"/>
          <w:i w:val="0"/>
          <w:color w:val="000000"/>
          <w:sz w:val="10"/>
        </w:rPr>
        <w:t>IB Leaf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30.0" w:type="dxa"/>
      </w:tblPr>
      <w:tblGrid>
        <w:gridCol w:w="1268"/>
        <w:gridCol w:w="1268"/>
        <w:gridCol w:w="1268"/>
        <w:gridCol w:w="1268"/>
        <w:gridCol w:w="1268"/>
        <w:gridCol w:w="1268"/>
        <w:gridCol w:w="1268"/>
        <w:gridCol w:w="1268"/>
      </w:tblGrid>
      <w:tr>
        <w:trPr>
          <w:trHeight w:hRule="exact" w:val="286"/>
        </w:trPr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86" w:after="0"/>
              <w:ind w:left="0" w:right="57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HDR100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62" w:after="0"/>
              <w:ind w:left="0" w:right="224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0"/>
              </w:rPr>
              <w:t xml:space="preserve">16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60" w:after="0"/>
              <w:ind w:left="0" w:right="13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HDR100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60" w:after="0"/>
              <w:ind w:left="0" w:right="11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HDR100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86" w:after="0"/>
              <w:ind w:left="0" w:right="31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HDR100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7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HDR100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95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DDN 18k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78" w:after="0"/>
              <w:ind w:left="37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HDR200 each</w:t>
            </w:r>
          </w:p>
        </w:tc>
      </w:tr>
      <w:tr>
        <w:trPr>
          <w:trHeight w:hRule="exact" w:val="256"/>
        </w:trPr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26" w:after="0"/>
              <w:ind w:left="0" w:right="26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 xml:space="preserve">Compute Rack 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4" w:after="0"/>
              <w:ind w:left="0" w:right="180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0"/>
              </w:rPr>
              <w:t>Racks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32" w:after="0"/>
              <w:ind w:left="23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 xml:space="preserve">Composable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26" w:after="0"/>
              <w:ind w:left="19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 xml:space="preserve">Large Memory 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26" w:after="0"/>
              <w:ind w:left="14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 xml:space="preserve">GPU Racks (16 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664" w:after="0"/>
              <w:ind w:left="0" w:right="7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DDN 18k</w:t>
            </w:r>
          </w:p>
        </w:tc>
        <w:tc>
          <w:tcPr>
            <w:tcW w:type="dxa" w:w="1268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664" w:after="0"/>
              <w:ind w:left="15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 xml:space="preserve">Dell Flash </w:t>
            </w:r>
          </w:p>
        </w:tc>
      </w:tr>
      <w:tr>
        <w:trPr>
          <w:trHeight w:hRule="exact" w:val="532"/>
        </w:trPr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342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 xml:space="preserve">(60 nodes) </w:t>
            </w:r>
          </w:p>
        </w:tc>
        <w:tc>
          <w:tcPr>
            <w:tcW w:type="dxa" w:w="1268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6" w:after="0"/>
              <w:ind w:left="18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Rack (8 nodes)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16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Rack (32 nodes)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3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0"/>
              </w:rPr>
              <w:t>nodes)</w:t>
            </w:r>
          </w:p>
        </w:tc>
        <w:tc>
          <w:tcPr>
            <w:tcW w:type="dxa" w:w="1268"/>
            <w:vMerge/>
            <w:tcBorders/>
          </w:tcPr>
          <w:p/>
        </w:tc>
        <w:tc>
          <w:tcPr>
            <w:tcW w:type="dxa" w:w="1268"/>
            <w:vMerge/>
            <w:tcBorders/>
          </w:tcPr>
          <w:p/>
        </w:tc>
        <w:tc>
          <w:tcPr>
            <w:tcW w:type="dxa" w:w="12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4" w:lineRule="exact" w:before="0" w:after="0"/>
        <w:ind w:left="0" w:right="1764" w:firstLine="0"/>
        <w:jc w:val="right"/>
      </w:pPr>
      <w:r>
        <w:rPr>
          <w:rFonts w:ascii="" w:hAnsi="" w:eastAsia=""/>
          <w:b w:val="0"/>
          <w:i w:val="0"/>
          <w:color w:val="000000"/>
          <w:sz w:val="10"/>
        </w:rPr>
        <w:t>(11)</w:t>
      </w:r>
    </w:p>
    <w:p>
      <w:pPr>
        <w:autoSpaceDN w:val="0"/>
        <w:autoSpaceDE w:val="0"/>
        <w:widowControl/>
        <w:spacing w:line="240" w:lineRule="exact" w:before="272" w:after="304"/>
        <w:ind w:left="0" w:right="0" w:firstLine="0"/>
        <w:jc w:val="center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Figure 1: Anvil System Architecture</w:t>
      </w:r>
    </w:p>
    <w:p>
      <w:pPr>
        <w:sectPr>
          <w:type w:val="continuous"/>
          <w:pgSz w:w="12240" w:h="15840"/>
          <w:pgMar w:top="612" w:right="1026" w:bottom="822" w:left="1070" w:header="720" w:footer="720" w:gutter="0"/>
          <w:cols w:space="720" w:num="1" w:equalWidth="0"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8" w:after="0"/>
        <w:ind w:left="6" w:right="252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GPU software stacks in the form of a module that is loaded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by default on Anvil nodes. The CPU module comprises a default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compiler and MPI environment, while the GPU module comprises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 stable CUDA version, compiler, and math library.</w:t>
      </w:r>
    </w:p>
    <w:p>
      <w:pPr>
        <w:autoSpaceDN w:val="0"/>
        <w:autoSpaceDE w:val="0"/>
        <w:widowControl/>
        <w:spacing w:line="220" w:lineRule="exact" w:before="28" w:after="0"/>
        <w:ind w:left="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Anvil software ecosystem also consists of tools that are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geared towards modern machine learning, data science, and bioin-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formatics applications. Containerization has been leveraged by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projects such as NVIDIA GPU Cloud (NGC)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13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] and BioContainers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6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 to distribute heavily optimized and efficient software tools for </w:t>
      </w:r>
      <w:r>
        <w:rPr>
          <w:w w:val="98.97697236802843"/>
          <w:rFonts w:ascii="LinLibertineT" w:hAnsi="LinLibertineT" w:eastAsia="LinLibertineT"/>
          <w:b w:val="0"/>
          <w:i w:val="0"/>
          <w:color w:val="000000"/>
          <w:sz w:val="18"/>
        </w:rPr>
        <w:t>these applications. Anvil hosts a subset of these containers, includ-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ing more than 400 biocontainers, that can be loaded via the module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system, while other containers available on these project sites can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be downloaded and run via Anvil’s Singularity container platform.</w:t>
      </w:r>
    </w:p>
    <w:p>
      <w:pPr>
        <w:autoSpaceDN w:val="0"/>
        <w:tabs>
          <w:tab w:pos="502" w:val="left"/>
        </w:tabs>
        <w:autoSpaceDE w:val="0"/>
        <w:widowControl/>
        <w:spacing w:line="292" w:lineRule="exact" w:before="208" w:after="0"/>
        <w:ind w:left="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3.2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Interactive Computing</w:t>
      </w:r>
    </w:p>
    <w:p>
      <w:pPr>
        <w:autoSpaceDN w:val="0"/>
        <w:autoSpaceDE w:val="0"/>
        <w:widowControl/>
        <w:spacing w:line="220" w:lineRule="exact" w:before="28" w:after="0"/>
        <w:ind w:left="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Using the Cendio ThinLinc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 software pioneered in Purdue’s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Data Workbench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 system, users can quickly log into Anvil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launch common HPC science applications as batch jobs from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convenience of a desktop menu. Menu applications also include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easy-to-use graphical tools to launch Windows VMs to use non-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Linux software. ThinLinc is well-suited to remote visualization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applications even over slow or high-latency networks.</w:t>
      </w:r>
    </w:p>
    <w:p>
      <w:pPr>
        <w:autoSpaceDN w:val="0"/>
        <w:autoSpaceDE w:val="0"/>
        <w:widowControl/>
        <w:spacing w:line="218" w:lineRule="exact" w:before="30" w:after="0"/>
        <w:ind w:left="4" w:right="144" w:firstLine="200"/>
        <w:jc w:val="left"/>
      </w:pPr>
      <w:r>
        <w:rPr>
          <w:w w:val="98.725954691569"/>
          <w:rFonts w:ascii="LinLibertineT" w:hAnsi="LinLibertineT" w:eastAsia="LinLibertineT"/>
          <w:b w:val="0"/>
          <w:i w:val="0"/>
          <w:color w:val="000000"/>
          <w:sz w:val="18"/>
        </w:rPr>
        <w:t>Anvil uses the Open OnDemand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12</w:t>
      </w:r>
      <w:r>
        <w:rPr>
          <w:w w:val="98.725954691569"/>
          <w:rFonts w:ascii="LinLibertineT" w:hAnsi="LinLibertineT" w:eastAsia="LinLibertineT"/>
          <w:b w:val="0"/>
          <w:i w:val="0"/>
          <w:color w:val="000000"/>
          <w:sz w:val="18"/>
        </w:rPr>
        <w:t xml:space="preserve">] software developed by the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Ohio Supercomputer Center to provide another mode of easy access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 science applications. Open OnDemand provides browser-based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file management, job templates, and gateway-style application host-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ing. The applications published in OnDemand include R Studio,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Jupyter notebooks, Spark, MATLAB, and more.</w:t>
      </w:r>
    </w:p>
    <w:p>
      <w:pPr>
        <w:autoSpaceDN w:val="0"/>
        <w:tabs>
          <w:tab w:pos="502" w:val="left"/>
        </w:tabs>
        <w:autoSpaceDE w:val="0"/>
        <w:widowControl/>
        <w:spacing w:line="294" w:lineRule="exact" w:before="208" w:after="0"/>
        <w:ind w:left="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3.3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Composable Subsystem</w:t>
      </w:r>
    </w:p>
    <w:p>
      <w:pPr>
        <w:autoSpaceDN w:val="0"/>
        <w:autoSpaceDE w:val="0"/>
        <w:widowControl/>
        <w:spacing w:line="220" w:lineRule="exact" w:before="28" w:after="0"/>
        <w:ind w:left="6" w:right="144" w:hanging="6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Anvil features a composable subsystem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9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] to dynamically provision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infrastructure from pools of computing resources (CPU, memory,</w:t>
      </w:r>
    </w:p>
    <w:p>
      <w:pPr>
        <w:sectPr>
          <w:type w:val="continuous"/>
          <w:pgSz w:w="12240" w:h="15840"/>
          <w:pgMar w:top="612" w:right="1026" w:bottom="822" w:left="1070" w:header="720" w:footer="720" w:gutter="0"/>
          <w:cols w:space="720" w:num="2" w:equalWidth="0"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8" w:after="0"/>
        <w:ind w:left="22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disk, network). Rancher is used to provide a control plane to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composable infrastructure to launch container-based applications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via Kubernetes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]. Using an intuitive user interface or command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line tools, users can deploy containerized applications, science gate-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ways, elastic software stacks, and data analysis pipelines to comple-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ment batch HPC workflows. Common use cases for the composable </w:t>
      </w:r>
      <w:r>
        <w:rPr>
          <w:w w:val="98.77621332804361"/>
          <w:rFonts w:ascii="LinLibertineT" w:hAnsi="LinLibertineT" w:eastAsia="LinLibertineT"/>
          <w:b w:val="0"/>
          <w:i w:val="0"/>
          <w:color w:val="000000"/>
          <w:sz w:val="18"/>
        </w:rPr>
        <w:t>subsystem include SQL or NoSQL databases, personal science gate-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ways and parallel, scalable analysis frameworks based on Dask or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Spark.</w:t>
      </w:r>
    </w:p>
    <w:p>
      <w:pPr>
        <w:autoSpaceDN w:val="0"/>
        <w:autoSpaceDE w:val="0"/>
        <w:widowControl/>
        <w:spacing w:line="220" w:lineRule="exact" w:before="28" w:after="418"/>
        <w:ind w:left="220" w:right="0" w:firstLine="198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The Microsoft Azure cloud will be integrated to facilitate bursting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 the cloud for composable workflows or appropriate HPC appli-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cations. During the deployment phase, Azure was used for early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access to compute nodes for benchmarking and staff training[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20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]. 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>Anvil HPC bursting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17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>] will utilize HBv3 instances built on equiv-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alent 128-core AMD processors.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7.99999999999955" w:type="dxa"/>
      </w:tblPr>
      <w:tblGrid>
        <w:gridCol w:w="5072"/>
        <w:gridCol w:w="5072"/>
      </w:tblGrid>
      <w:tr>
        <w:trPr>
          <w:trHeight w:hRule="exact" w:val="614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6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4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96" w:after="0"/>
              <w:ind w:left="11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 xml:space="preserve">WORKFORCE DEVELOPMENT, TRAINING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2"/>
              </w:rPr>
              <w:t>&amp; COMMUNITY ENGAGEMENT</w:t>
            </w:r>
          </w:p>
        </w:tc>
      </w:tr>
    </w:tbl>
    <w:p>
      <w:pPr>
        <w:autoSpaceDN w:val="0"/>
        <w:autoSpaceDE w:val="0"/>
        <w:widowControl/>
        <w:spacing w:line="220" w:lineRule="exact" w:before="26" w:after="0"/>
        <w:ind w:left="228" w:right="0" w:hanging="6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The Anvil project has developed a comprehensive plan for CI work-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force development. It builds upon and expands Purdue’s existing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programs in mentoring future CI professionals, training for compu-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tational and data literacy, and supporting under-served communi-</w:t>
      </w:r>
      <w:r>
        <w:rPr>
          <w:w w:val="98.87664582994249"/>
          <w:rFonts w:ascii="LinLibertineT" w:hAnsi="LinLibertineT" w:eastAsia="LinLibertineT"/>
          <w:b w:val="0"/>
          <w:i w:val="0"/>
          <w:color w:val="000000"/>
          <w:sz w:val="18"/>
        </w:rPr>
        <w:t xml:space="preserve">ties. Since 2003, undergraduates from disciplines such as computer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science, information technology and multiple engineering fields </w:t>
      </w:r>
      <w:r>
        <w:rPr>
          <w:w w:val="98.77621332804361"/>
          <w:rFonts w:ascii="LinLibertineT" w:hAnsi="LinLibertineT" w:eastAsia="LinLibertineT"/>
          <w:b w:val="0"/>
          <w:i w:val="0"/>
          <w:color w:val="000000"/>
          <w:sz w:val="18"/>
        </w:rPr>
        <w:t xml:space="preserve">have been mentored by Purdue’s research computing staff through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internships and student programs in hardware maintenance, sys-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tems administration, HPC tool development, and science gateway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development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]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10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]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11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]. The Purdue student programs have men-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tored more than 80 students since 2008, with over 25% of them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moving on to a career in academic research computing or HPC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industry.</w:t>
      </w:r>
    </w:p>
    <w:p>
      <w:pPr>
        <w:sectPr>
          <w:type w:val="nextColumn"/>
          <w:pgSz w:w="12240" w:h="15840"/>
          <w:pgMar w:top="612" w:right="1026" w:bottom="822" w:left="1070" w:header="720" w:footer="720" w:gutter="0"/>
          <w:cols w:space="720" w:num="2" w:equalWidth="0"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0"/>
        <w:ind w:left="0" w:right="0"/>
      </w:pPr>
    </w:p>
    <w:p>
      <w:pPr>
        <w:autoSpaceDN w:val="0"/>
        <w:tabs>
          <w:tab w:pos="9466" w:val="left"/>
        </w:tabs>
        <w:autoSpaceDE w:val="0"/>
        <w:widowControl/>
        <w:spacing w:line="162" w:lineRule="exact" w:before="0" w:after="288"/>
        <w:ind w:left="6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 xml:space="preserve">PEARC ’22, July 10–14, 2022, Boston, MA, USA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4"/>
        </w:rPr>
        <w:t>Song, et al.</w:t>
      </w:r>
    </w:p>
    <w:p>
      <w:pPr>
        <w:sectPr>
          <w:pgSz w:w="12240" w:h="15840"/>
          <w:pgMar w:top="612" w:right="1026" w:bottom="822" w:left="1070" w:header="720" w:footer="720" w:gutter="0"/>
          <w:cols w:space="720" w:num="1" w:equalWidth="0"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8" w:after="0"/>
        <w:ind w:left="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Anvil team is launching a new REU program in the sum-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mer of 2022 to extend the Purdue CI professional apprenticeship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program to students nationwide, with a particular emphasis 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under-served communities such as women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], minorities,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under-resourced institutions. The 12-week Anvil REU program re-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cruits nationwide and pairs each student with a CI professional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mentor to work on a range of R&amp;D projects that will directly impact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Anvil project and the broader CI community. In the first year,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student projects focus on improving system data collection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reporting, application monitoring, container and application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cybersecurity, and impact assessment of Anvil’s novel interactive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cloud computing tools. Future projects are designed to train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students in researcher-facing roles, gateway support, and deeper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explorations of accelerator, cloud and composable technologies.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Students who complete this internship will be prepared to enter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Research Computing and Data (RCD) workforce to support CI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resources and their users.</w:t>
      </w:r>
    </w:p>
    <w:p>
      <w:pPr>
        <w:autoSpaceDN w:val="0"/>
        <w:autoSpaceDE w:val="0"/>
        <w:widowControl/>
        <w:spacing w:line="220" w:lineRule="exact" w:before="28" w:after="0"/>
        <w:ind w:left="0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team also engaged with the research computing communi-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ties through presentations at CASC, PEARC, and Supercomputing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conferences, and webinars to various user and CI facilitator groups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such as the Campus Champions and CaRCC. An early tutorial at </w:t>
      </w:r>
      <w:r>
        <w:rPr>
          <w:w w:val="98.725954691569"/>
          <w:rFonts w:ascii="LinLibertineT" w:hAnsi="LinLibertineT" w:eastAsia="LinLibertineT"/>
          <w:b w:val="0"/>
          <w:i w:val="0"/>
          <w:color w:val="000000"/>
          <w:sz w:val="18"/>
        </w:rPr>
        <w:t xml:space="preserve">PEARC21 on the composable system was conducted to prepare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science and engineering community for the novel capabilities that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Anvil brings to the XSEDE ecosystem [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]. A training curriculum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with progressing tiers has been created to meet the diverse user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needs. For instance, the introductory level courses (Anvil 101) in-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clude basics of Linux, running jobs, using storage, using interactive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access interfaces, and HPC seminar series for undergraduate stu-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dents. The advanced tutorials include Anvil 200 short courses 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Kubernetes, object storage with Ceph, archiving data, and cloud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bursting to Azure. More targeted training will cover specific tools </w:t>
      </w:r>
      <w:r>
        <w:rPr>
          <w:w w:val="98.725954691569"/>
          <w:rFonts w:ascii="LinLibertineT" w:hAnsi="LinLibertineT" w:eastAsia="LinLibertineT"/>
          <w:b w:val="0"/>
          <w:i w:val="0"/>
          <w:color w:val="000000"/>
          <w:sz w:val="18"/>
        </w:rPr>
        <w:t xml:space="preserve">such as Jupyter Kernels &amp; HPC and Using GPUs with Python. This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curriculum will continue to evolve in response to community input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will also leverage learning materials from other projects such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as those funded by the OAC CyberTraining program.</w:t>
      </w:r>
    </w:p>
    <w:p>
      <w:pPr>
        <w:autoSpaceDN w:val="0"/>
        <w:autoSpaceDE w:val="0"/>
        <w:widowControl/>
        <w:spacing w:line="220" w:lineRule="exact" w:before="28" w:after="0"/>
        <w:ind w:left="0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As a new system in the national CI ecosystem, the Anvil team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reached out to the broader communities to build its user base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enable knowledge sharing through multiple venues. During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acquisition and early user phases, the team engaged in technol-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ogy forums and partnerships with industry such as AMD and Mi-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crosoft, federal agencies via NITRD (Networking and Information 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>Technology Research and Development Program), and various aca-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demic research computing centers, sharing our experiences as early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adopters of the newer hardware and systems and getting commu-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nity feedback on best practices. Several staff members from Purdue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played leadership roles in the AMD HPC user forum community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shared insights on diverse topics including AMD hardware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benchmarking results, Spack automation framework stability, ap-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plication build related issues and performance issues with peer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institutions. These interactions helped shape the choice of com-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piler versions and application configurations on Anvil. The Anvil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leadership team presented to NITRD’s member agencies on today’s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HPC vendor ecosystem from the perspective of a campus. These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interactions helped the team learn about the national exascale com-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puting landscape and share the campus perspective on the critical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problems facing the researchers of tomorrow.</w:t>
      </w:r>
    </w:p>
    <w:p>
      <w:pPr>
        <w:sectPr>
          <w:type w:val="continuous"/>
          <w:pgSz w:w="12240" w:h="15840"/>
          <w:pgMar w:top="612" w:right="1026" w:bottom="822" w:left="1070" w:header="720" w:footer="720" w:gutter="0"/>
          <w:cols w:space="720" w:num="2" w:equalWidth="0"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tabs>
          <w:tab w:pos="558" w:val="left"/>
        </w:tabs>
        <w:autoSpaceDE w:val="0"/>
        <w:widowControl/>
        <w:spacing w:line="260" w:lineRule="exact" w:before="32" w:after="0"/>
        <w:ind w:left="228" w:right="1584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5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SYSTEM DEPLOYMENT AND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PERFORMANCE</w:t>
      </w:r>
    </w:p>
    <w:p>
      <w:pPr>
        <w:autoSpaceDN w:val="0"/>
        <w:autoSpaceDE w:val="0"/>
        <w:widowControl/>
        <w:spacing w:line="220" w:lineRule="exact" w:before="28" w:after="0"/>
        <w:ind w:left="228" w:right="46" w:hanging="6"/>
        <w:jc w:val="both"/>
      </w:pPr>
      <w:r>
        <w:rPr>
          <w:w w:val="98.77621332804361"/>
          <w:rFonts w:ascii="LinLibertineT" w:hAnsi="LinLibertineT" w:eastAsia="LinLibertineT"/>
          <w:b w:val="0"/>
          <w:i w:val="0"/>
          <w:color w:val="000000"/>
          <w:sz w:val="18"/>
        </w:rPr>
        <w:t xml:space="preserve">The Anvil team has successfully acquired, assembled and deployed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the system and conducted an early user program in 2021 all through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 world-wide pandemic. The Anvil acquisition has been accepted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by NSF and formally entered production operations in February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2022.</w:t>
      </w:r>
    </w:p>
    <w:p>
      <w:pPr>
        <w:autoSpaceDN w:val="0"/>
        <w:autoSpaceDE w:val="0"/>
        <w:widowControl/>
        <w:spacing w:line="220" w:lineRule="exact" w:before="28" w:after="0"/>
        <w:ind w:left="228" w:right="0" w:firstLine="19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From January through July of 2021, the Anvil system was or-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dered, received and deployed in the Purdue research data center.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During the winter of 2020-21, Purdue engineers relocated or de-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commissioned administrative computing systems to make room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for Anvil, deployed Anvil’s new liquid cooling infrastructure,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began deploying compute nodes during June of 2021. The entire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system was fully running by early fall 2021.</w:t>
      </w:r>
    </w:p>
    <w:p>
      <w:pPr>
        <w:autoSpaceDN w:val="0"/>
        <w:autoSpaceDE w:val="0"/>
        <w:widowControl/>
        <w:spacing w:line="220" w:lineRule="exact" w:before="28" w:after="0"/>
        <w:ind w:left="228" w:right="0" w:firstLine="19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During the fall of 2021, Anvil was put through a number of ac-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ceptance benchmarks. These tests included single-node HPL, mea-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surement of the InfiniBand performance with the OSU benchmark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suite, STREAM memory tests, and application and system-wide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benchmarks. The following sections describe the benchmarking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results and lessons learned in more details.</w:t>
      </w:r>
    </w:p>
    <w:p>
      <w:pPr>
        <w:autoSpaceDN w:val="0"/>
        <w:tabs>
          <w:tab w:pos="722" w:val="left"/>
        </w:tabs>
        <w:autoSpaceDE w:val="0"/>
        <w:widowControl/>
        <w:spacing w:line="294" w:lineRule="exact" w:before="330" w:after="0"/>
        <w:ind w:left="22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5.1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Application Benchmarks</w:t>
      </w:r>
    </w:p>
    <w:p>
      <w:pPr>
        <w:autoSpaceDN w:val="0"/>
        <w:autoSpaceDE w:val="0"/>
        <w:widowControl/>
        <w:spacing w:line="220" w:lineRule="exact" w:before="28" w:after="0"/>
        <w:ind w:left="228" w:right="0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Anvil was designed to support a wide variety of S&amp;E applications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seen at Purdue (as a representative campus) and XSEDE today.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top applications being run on Purdue’s campus HPC systems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include molecular dynamics (LAMMPS, GROMACS), material mod-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eling (VASP), computational fluid dynamics (OpenFOAM, GEMS), 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 xml:space="preserve">high-energy physics, and weather modeling (WRF, CESM). XSEDE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data for 2017-19 also reveals similar categories and software 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top 30 applications: molecular dynamics (NAMD, LAMMPS,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GROMACS, Amber), materials modeling (Quantum Espresso), com-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putational fluid dynamics (OpenFOAM, NEK5000), and weather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modeling (WRF, CESM).</w:t>
      </w:r>
    </w:p>
    <w:p>
      <w:pPr>
        <w:autoSpaceDN w:val="0"/>
        <w:autoSpaceDE w:val="0"/>
        <w:widowControl/>
        <w:spacing w:line="220" w:lineRule="exact" w:before="28" w:after="0"/>
        <w:ind w:left="228" w:right="0" w:firstLine="198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The Anvil team expected to support a similar mix of applications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for traditional HPC users today, as well as new and long-tail appli-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cations for the future, with major growth anticipated in Python, R,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notebooks, and AI applications. These applications were also run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during benchmarking and the early operations phase to demon-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strate real-world utilization patterns.</w:t>
      </w:r>
    </w:p>
    <w:p>
      <w:pPr>
        <w:autoSpaceDN w:val="0"/>
        <w:tabs>
          <w:tab w:pos="730" w:val="left"/>
        </w:tabs>
        <w:autoSpaceDE w:val="0"/>
        <w:widowControl/>
        <w:spacing w:line="226" w:lineRule="exact" w:before="234" w:after="0"/>
        <w:ind w:left="220" w:right="0" w:firstLine="0"/>
        <w:jc w:val="left"/>
      </w:pPr>
      <w:r>
        <w:rPr>
          <w:rFonts w:ascii="LinBiolinumTI" w:hAnsi="LinBiolinumTI" w:eastAsia="LinBiolinumTI"/>
          <w:b w:val="0"/>
          <w:i/>
          <w:color w:val="000000"/>
          <w:sz w:val="18"/>
        </w:rPr>
        <w:t xml:space="preserve">5.1.1 </w:t>
      </w:r>
      <w:r>
        <w:tab/>
      </w:r>
      <w:r>
        <w:rPr>
          <w:rFonts w:ascii="LinBiolinumTI" w:hAnsi="LinBiolinumTI" w:eastAsia="LinBiolinumTI"/>
          <w:b w:val="0"/>
          <w:i/>
          <w:color w:val="000000"/>
          <w:sz w:val="18"/>
        </w:rPr>
        <w:t>Single Node Application Benchmarks.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Figure 2a describes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single node application and benchmark performance obtained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on both Anvil and Azure HBv3 instances, shown with benchmark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results performed on the 2nd generation AMD EPYC 7742 processor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(Rome) as a baseline. All Anvil application benchmarks exceeded or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were close to projected performance, and exceeded the single-node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performance observed on Azure HBv3.</w:t>
      </w:r>
    </w:p>
    <w:p>
      <w:pPr>
        <w:autoSpaceDN w:val="0"/>
        <w:tabs>
          <w:tab w:pos="730" w:val="left"/>
        </w:tabs>
        <w:autoSpaceDE w:val="0"/>
        <w:widowControl/>
        <w:spacing w:line="226" w:lineRule="exact" w:before="234" w:after="0"/>
        <w:ind w:left="228" w:right="0" w:firstLine="0"/>
        <w:jc w:val="left"/>
      </w:pPr>
      <w:r>
        <w:rPr>
          <w:rFonts w:ascii="LinBiolinumTI" w:hAnsi="LinBiolinumTI" w:eastAsia="LinBiolinumTI"/>
          <w:b w:val="0"/>
          <w:i/>
          <w:color w:val="000000"/>
          <w:sz w:val="18"/>
        </w:rPr>
        <w:t xml:space="preserve">5.1.2 </w:t>
      </w:r>
      <w:r>
        <w:tab/>
      </w:r>
      <w:r>
        <w:rPr>
          <w:rFonts w:ascii="LinBiolinumTI" w:hAnsi="LinBiolinumTI" w:eastAsia="LinBiolinumTI"/>
          <w:b w:val="0"/>
          <w:i/>
          <w:color w:val="000000"/>
          <w:sz w:val="18"/>
        </w:rPr>
        <w:t>Memory Bandwidth.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Table 2 summarizes the results of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STREAM benchmarks performed on Anvil during acceptance test-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ing. Memory bandwidth on Anvil exceeded the projections based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on earlier platforms. As expected, this has shown to result in a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significant performance improvement on scientific applications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running on Anvil during the early user phase and in production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today.</w:t>
      </w:r>
    </w:p>
    <w:p>
      <w:pPr>
        <w:sectPr>
          <w:type w:val="nextColumn"/>
          <w:pgSz w:w="12240" w:h="15840"/>
          <w:pgMar w:top="612" w:right="1026" w:bottom="822" w:left="1070" w:header="720" w:footer="720" w:gutter="0"/>
          <w:cols w:space="720" w:num="2" w:equalWidth="0"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2"/>
        <w:ind w:left="0" w:right="0"/>
      </w:pPr>
    </w:p>
    <w:p>
      <w:pPr>
        <w:sectPr>
          <w:pgSz w:w="12240" w:h="15840"/>
          <w:pgMar w:top="610" w:right="1018" w:bottom="822" w:left="1070" w:header="720" w:footer="720" w:gutter="0"/>
          <w:cols w:space="720" w:num="2" w:equalWidth="0"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>Anvil - System Architecture and Experiences from Deployment and Early User Operations</w:t>
      </w:r>
    </w:p>
    <w:p>
      <w:pPr>
        <w:autoSpaceDN w:val="0"/>
        <w:autoSpaceDE w:val="0"/>
        <w:widowControl/>
        <w:spacing w:line="240" w:lineRule="auto" w:before="290" w:after="0"/>
        <w:ind w:left="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4669" cy="181482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4669" cy="1814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98" w:after="0"/>
        <w:ind w:left="1190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6"/>
        </w:rPr>
        <w:t>(a) Anvil Single Node Benchmarks</w:t>
      </w:r>
    </w:p>
    <w:p>
      <w:pPr>
        <w:autoSpaceDN w:val="0"/>
        <w:autoSpaceDE w:val="0"/>
        <w:widowControl/>
        <w:spacing w:line="240" w:lineRule="auto" w:before="28" w:after="0"/>
        <w:ind w:left="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4669" cy="194437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4669" cy="1944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98" w:after="0"/>
        <w:ind w:left="0" w:right="1724" w:firstLine="0"/>
        <w:jc w:val="right"/>
      </w:pPr>
      <w:r>
        <w:rPr>
          <w:rFonts w:ascii="LinLibertineTB" w:hAnsi="LinLibertineTB" w:eastAsia="LinLibertineTB"/>
          <w:b/>
          <w:i w:val="0"/>
          <w:color w:val="000000"/>
          <w:sz w:val="16"/>
        </w:rPr>
        <w:t>(b) Anvil Strong Scaling Study</w:t>
      </w:r>
    </w:p>
    <w:p>
      <w:pPr>
        <w:autoSpaceDN w:val="0"/>
        <w:autoSpaceDE w:val="0"/>
        <w:widowControl/>
        <w:spacing w:line="240" w:lineRule="exact" w:before="218" w:after="288"/>
        <w:ind w:left="532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Figure 2: Anvil benchmark and scaling studies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2030"/>
        <w:gridCol w:w="2030"/>
        <w:gridCol w:w="2030"/>
        <w:gridCol w:w="2030"/>
        <w:gridCol w:w="2030"/>
      </w:tblGrid>
      <w:tr>
        <w:trPr>
          <w:trHeight w:hRule="exact" w:val="408"/>
        </w:trPr>
        <w:tc>
          <w:tcPr>
            <w:tcW w:type="dxa" w:w="104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9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 xml:space="preserve">STREAM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Benchmark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 xml:space="preserve">Performance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on Sky Lake</w:t>
            </w:r>
          </w:p>
        </w:tc>
        <w:tc>
          <w:tcPr>
            <w:tcW w:type="dxa" w:w="113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9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 xml:space="preserve">Performance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on Rome</w:t>
            </w:r>
          </w:p>
        </w:tc>
        <w:tc>
          <w:tcPr>
            <w:tcW w:type="dxa" w:w="9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9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 xml:space="preserve">Projection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on Milan</w:t>
            </w:r>
          </w:p>
        </w:tc>
        <w:tc>
          <w:tcPr>
            <w:tcW w:type="dxa" w:w="8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9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 xml:space="preserve">Actual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on Anvil</w:t>
            </w:r>
          </w:p>
        </w:tc>
      </w:tr>
      <w:tr>
        <w:trPr>
          <w:trHeight w:hRule="exact" w:val="206"/>
        </w:trPr>
        <w:tc>
          <w:tcPr>
            <w:tcW w:type="dxa" w:w="104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96" w:right="0" w:firstLine="0"/>
              <w:jc w:val="left"/>
            </w:pPr>
            <w:r>
              <w:rPr>
                <w:rFonts w:ascii="LinLibertineTI" w:hAnsi="LinLibertineTI" w:eastAsia="LinLibertineTI"/>
                <w:b w:val="0"/>
                <w:i/>
                <w:color w:val="000000"/>
                <w:sz w:val="16"/>
              </w:rPr>
              <w:t>COPY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144064.5</w:t>
            </w:r>
          </w:p>
        </w:tc>
        <w:tc>
          <w:tcPr>
            <w:tcW w:type="dxa" w:w="113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203522.5</w:t>
            </w:r>
          </w:p>
        </w:tc>
        <w:tc>
          <w:tcPr>
            <w:tcW w:type="dxa" w:w="9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284931.5</w:t>
            </w:r>
          </w:p>
        </w:tc>
        <w:tc>
          <w:tcPr>
            <w:tcW w:type="dxa" w:w="8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345981.3</w:t>
            </w:r>
          </w:p>
        </w:tc>
      </w:tr>
      <w:tr>
        <w:trPr>
          <w:trHeight w:hRule="exact" w:val="208"/>
        </w:trPr>
        <w:tc>
          <w:tcPr>
            <w:tcW w:type="dxa" w:w="104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96" w:right="0" w:firstLine="0"/>
              <w:jc w:val="left"/>
            </w:pPr>
            <w:r>
              <w:rPr>
                <w:rFonts w:ascii="LinLibertineTI" w:hAnsi="LinLibertineTI" w:eastAsia="LinLibertineTI"/>
                <w:b w:val="0"/>
                <w:i/>
                <w:color w:val="000000"/>
                <w:sz w:val="16"/>
              </w:rPr>
              <w:t>SCALE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143006.6</w:t>
            </w:r>
          </w:p>
        </w:tc>
        <w:tc>
          <w:tcPr>
            <w:tcW w:type="dxa" w:w="113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196341.9</w:t>
            </w:r>
          </w:p>
        </w:tc>
        <w:tc>
          <w:tcPr>
            <w:tcW w:type="dxa" w:w="9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247878.7</w:t>
            </w:r>
          </w:p>
        </w:tc>
        <w:tc>
          <w:tcPr>
            <w:tcW w:type="dxa" w:w="8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346168.7</w:t>
            </w:r>
          </w:p>
        </w:tc>
      </w:tr>
      <w:tr>
        <w:trPr>
          <w:trHeight w:hRule="exact" w:val="208"/>
        </w:trPr>
        <w:tc>
          <w:tcPr>
            <w:tcW w:type="dxa" w:w="104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96" w:right="0" w:firstLine="0"/>
              <w:jc w:val="left"/>
            </w:pPr>
            <w:r>
              <w:rPr>
                <w:rFonts w:ascii="LinLibertineTI" w:hAnsi="LinLibertineTI" w:eastAsia="LinLibertineTI"/>
                <w:b w:val="0"/>
                <w:i/>
                <w:color w:val="000000"/>
                <w:sz w:val="16"/>
              </w:rPr>
              <w:t>ADD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148988.5</w:t>
            </w:r>
          </w:p>
        </w:tc>
        <w:tc>
          <w:tcPr>
            <w:tcW w:type="dxa" w:w="113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215621.8</w:t>
            </w:r>
          </w:p>
        </w:tc>
        <w:tc>
          <w:tcPr>
            <w:tcW w:type="dxa" w:w="9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301870.5</w:t>
            </w:r>
          </w:p>
        </w:tc>
        <w:tc>
          <w:tcPr>
            <w:tcW w:type="dxa" w:w="8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347385.5</w:t>
            </w:r>
          </w:p>
        </w:tc>
      </w:tr>
      <w:tr>
        <w:trPr>
          <w:trHeight w:hRule="exact" w:val="206"/>
        </w:trPr>
        <w:tc>
          <w:tcPr>
            <w:tcW w:type="dxa" w:w="104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96" w:right="0" w:firstLine="0"/>
              <w:jc w:val="left"/>
            </w:pPr>
            <w:r>
              <w:rPr>
                <w:rFonts w:ascii="LinLibertineTI" w:hAnsi="LinLibertineTI" w:eastAsia="LinLibertineTI"/>
                <w:b w:val="0"/>
                <w:i/>
                <w:color w:val="000000"/>
                <w:sz w:val="16"/>
              </w:rPr>
              <w:t>TRIAD</w:t>
            </w:r>
          </w:p>
        </w:tc>
        <w:tc>
          <w:tcPr>
            <w:tcW w:type="dxa" w:w="11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148831.5</w:t>
            </w:r>
          </w:p>
        </w:tc>
        <w:tc>
          <w:tcPr>
            <w:tcW w:type="dxa" w:w="113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223098.8</w:t>
            </w:r>
          </w:p>
        </w:tc>
        <w:tc>
          <w:tcPr>
            <w:tcW w:type="dxa" w:w="9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312338.3</w:t>
            </w:r>
          </w:p>
        </w:tc>
        <w:tc>
          <w:tcPr>
            <w:tcW w:type="dxa" w:w="8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347375.4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15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Table 2: Anvil STREAM results</w:t>
      </w:r>
    </w:p>
    <w:p>
      <w:pPr>
        <w:autoSpaceDN w:val="0"/>
        <w:tabs>
          <w:tab w:pos="510" w:val="left"/>
        </w:tabs>
        <w:autoSpaceDE w:val="0"/>
        <w:widowControl/>
        <w:spacing w:line="240" w:lineRule="exact" w:before="566" w:after="0"/>
        <w:ind w:left="6" w:right="288" w:firstLine="0"/>
        <w:jc w:val="left"/>
      </w:pPr>
      <w:r>
        <w:rPr>
          <w:rFonts w:ascii="LinBiolinumTI" w:hAnsi="LinBiolinumTI" w:eastAsia="LinBiolinumTI"/>
          <w:b w:val="0"/>
          <w:i/>
          <w:color w:val="000000"/>
          <w:sz w:val="18"/>
        </w:rPr>
        <w:t xml:space="preserve">5.1.3 </w:t>
      </w:r>
      <w:r>
        <w:tab/>
      </w:r>
      <w:r>
        <w:rPr>
          <w:rFonts w:ascii="LinBiolinumTI" w:hAnsi="LinBiolinumTI" w:eastAsia="LinBiolinumTI"/>
          <w:b w:val="0"/>
          <w:i/>
          <w:color w:val="000000"/>
          <w:sz w:val="18"/>
        </w:rPr>
        <w:t>Strong Scaling Study.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Strong scaling study of these repre-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sentative applications also shows good scalability on Anvil up to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modest scale (1024 cores/ 8 nodes). (Figure 2b)</w:t>
      </w:r>
    </w:p>
    <w:p>
      <w:pPr>
        <w:autoSpaceDN w:val="0"/>
        <w:tabs>
          <w:tab w:pos="496" w:val="left"/>
        </w:tabs>
        <w:autoSpaceDE w:val="0"/>
        <w:widowControl/>
        <w:spacing w:line="228" w:lineRule="exact" w:before="70" w:after="0"/>
        <w:ind w:left="0" w:right="288" w:firstLine="0"/>
        <w:jc w:val="left"/>
      </w:pPr>
      <w:r>
        <w:rPr>
          <w:w w:val="98.62537384033203"/>
          <w:rFonts w:ascii="LinBiolinumTI" w:hAnsi="LinBiolinumTI" w:eastAsia="LinBiolinumTI"/>
          <w:b w:val="0"/>
          <w:i/>
          <w:color w:val="000000"/>
          <w:sz w:val="18"/>
        </w:rPr>
        <w:t xml:space="preserve">5.1.4 </w:t>
      </w:r>
      <w:r>
        <w:tab/>
      </w:r>
      <w:r>
        <w:rPr>
          <w:w w:val="98.62537384033203"/>
          <w:rFonts w:ascii="LinBiolinumTI" w:hAnsi="LinBiolinumTI" w:eastAsia="LinBiolinumTI"/>
          <w:b w:val="0"/>
          <w:i/>
          <w:color w:val="000000"/>
          <w:sz w:val="18"/>
        </w:rPr>
        <w:t>GPU Performance.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 Performance of each GPU (NVIDIA A100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SXM4, 40GB) on Anvil was evaluated by measuring FP32 through-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put (number of training images processed per second) while training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models on synthetic data. The benchmark shows a 2X speedup on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Anvil compared to NVIDIA V100 GPUs for the training of ResNet-50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V1.5 (Figure 3).</w:t>
      </w:r>
    </w:p>
    <w:p>
      <w:pPr>
        <w:autoSpaceDN w:val="0"/>
        <w:tabs>
          <w:tab w:pos="508" w:val="left"/>
        </w:tabs>
        <w:autoSpaceDE w:val="0"/>
        <w:widowControl/>
        <w:spacing w:line="234" w:lineRule="exact" w:before="68" w:after="0"/>
        <w:ind w:left="6" w:right="288" w:firstLine="0"/>
        <w:jc w:val="left"/>
      </w:pPr>
      <w:r>
        <w:rPr>
          <w:rFonts w:ascii="LinBiolinumTI" w:hAnsi="LinBiolinumTI" w:eastAsia="LinBiolinumTI"/>
          <w:b w:val="0"/>
          <w:i/>
          <w:color w:val="000000"/>
          <w:sz w:val="18"/>
        </w:rPr>
        <w:t xml:space="preserve">5.1.5 </w:t>
      </w:r>
      <w:r>
        <w:tab/>
      </w:r>
      <w:r>
        <w:rPr>
          <w:rFonts w:ascii="LinBiolinumTI" w:hAnsi="LinBiolinumTI" w:eastAsia="LinBiolinumTI"/>
          <w:b w:val="0"/>
          <w:i/>
          <w:color w:val="000000"/>
          <w:sz w:val="18"/>
        </w:rPr>
        <w:t>Storage Performance.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Aggregate performance of the Anvil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storage system was measured with mdtest and IOR. To simulate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system-wide load, multiple IOR benchmarks were run simultane-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ously against the scratch tier (flash) and project tier (disk). These</w:t>
      </w:r>
    </w:p>
    <w:p>
      <w:pPr>
        <w:sectPr>
          <w:type w:val="continuous"/>
          <w:pgSz w:w="12240" w:h="15840"/>
          <w:pgMar w:top="610" w:right="1018" w:bottom="822" w:left="1070" w:header="720" w:footer="720" w:gutter="0"/>
          <w:cols w:space="720" w:num="2" w:equalWidth="0"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58" w:firstLine="0"/>
        <w:jc w:val="righ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>PEARC ’22, July 10–14, 2022, Boston, MA, USA</w:t>
      </w:r>
    </w:p>
    <w:p>
      <w:pPr>
        <w:autoSpaceDN w:val="0"/>
        <w:autoSpaceDE w:val="0"/>
        <w:widowControl/>
        <w:spacing w:line="240" w:lineRule="auto" w:before="29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74670" cy="164465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64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exact" w:before="212" w:after="0"/>
        <w:ind w:left="0" w:right="0" w:firstLine="0"/>
        <w:jc w:val="center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Figure 3: Anvil GPU ResNet benchmark</w:t>
      </w:r>
    </w:p>
    <w:p>
      <w:pPr>
        <w:autoSpaceDN w:val="0"/>
        <w:autoSpaceDE w:val="0"/>
        <w:widowControl/>
        <w:spacing w:line="218" w:lineRule="exact" w:before="388" w:after="0"/>
        <w:ind w:left="64" w:right="0" w:firstLine="0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benchmarks demonstrate an aggregate performance of 165.47 GB/s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reads, and write performance of 135.05 GB/s.</w:t>
      </w:r>
    </w:p>
    <w:p>
      <w:pPr>
        <w:autoSpaceDN w:val="0"/>
        <w:tabs>
          <w:tab w:pos="558" w:val="left"/>
        </w:tabs>
        <w:autoSpaceDE w:val="0"/>
        <w:widowControl/>
        <w:spacing w:line="292" w:lineRule="exact" w:before="170" w:after="0"/>
        <w:ind w:left="6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5.2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Lessons Learned</w:t>
      </w:r>
    </w:p>
    <w:p>
      <w:pPr>
        <w:autoSpaceDN w:val="0"/>
        <w:autoSpaceDE w:val="0"/>
        <w:widowControl/>
        <w:spacing w:line="218" w:lineRule="exact" w:before="32" w:after="0"/>
        <w:ind w:left="64" w:right="5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Extending the Anvil team’s expertise from building campus CI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 developing a national CI resource was a valuable experience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here we summarize several key lessons learned from Anvil’s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deployment.</w:t>
      </w:r>
    </w:p>
    <w:p>
      <w:pPr>
        <w:autoSpaceDN w:val="0"/>
        <w:autoSpaceDE w:val="0"/>
        <w:widowControl/>
        <w:spacing w:line="214" w:lineRule="exact" w:before="70" w:after="0"/>
        <w:ind w:left="544" w:right="0" w:hanging="26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(1)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XSEDE Integration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Many of the challenges encountered </w:t>
      </w:r>
      <w:r>
        <w:rPr>
          <w:w w:val="98.82644017537436"/>
          <w:rFonts w:ascii="LinLibertineT" w:hAnsi="LinLibertineT" w:eastAsia="LinLibertineT"/>
          <w:b w:val="0"/>
          <w:i w:val="0"/>
          <w:color w:val="000000"/>
          <w:sz w:val="18"/>
        </w:rPr>
        <w:t xml:space="preserve">were in how to link Anvil with central XSEDE management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services. Starting this integration very early during the de-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ployment phase allowed time to address these issues.</w:t>
      </w:r>
    </w:p>
    <w:p>
      <w:pPr>
        <w:autoSpaceDN w:val="0"/>
        <w:tabs>
          <w:tab w:pos="714" w:val="left"/>
          <w:tab w:pos="720" w:val="left"/>
        </w:tabs>
        <w:autoSpaceDE w:val="0"/>
        <w:widowControl/>
        <w:spacing w:line="218" w:lineRule="exact" w:before="40" w:after="0"/>
        <w:ind w:left="44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(a)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Domain blending: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XSEDE Anvil user accounts originate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with and are managed by XSEDE and thereby do not go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through the standard campus workflow for account cre-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ation and management. Nevertheless, we wished to con-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tinue to use centralized campus accounts for administra-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tors and a small portion of Purdue projects on Anvil which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would be outside the scope of XSEDE. A new approach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 LDAP tree management and creation for Anvil had to 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devised in order to allow for Anvil to host a blended set of 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users from both XSEDE and campus authorities. Care had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 be taken to negotiate naming schemes which would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avoid eventual collisions in the username, group name,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UID, and GID namespaces between XSEDE and campus.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(b)</w:t>
      </w:r>
      <w:r>
        <w:rPr>
          <w:w w:val="98.67567486233182"/>
          <w:rFonts w:ascii="LinLibertineTI" w:hAnsi="LinLibertineTI" w:eastAsia="LinLibertineTI"/>
          <w:b w:val="0"/>
          <w:i/>
          <w:color w:val="000000"/>
          <w:sz w:val="18"/>
        </w:rPr>
        <w:t xml:space="preserve"> AMIE integration:</w:t>
      </w:r>
      <w:r>
        <w:rPr>
          <w:w w:val="98.67567486233182"/>
          <w:rFonts w:ascii="LinLibertineT" w:hAnsi="LinLibertineT" w:eastAsia="LinLibertineT"/>
          <w:b w:val="0"/>
          <w:i w:val="0"/>
          <w:color w:val="000000"/>
          <w:sz w:val="18"/>
        </w:rPr>
        <w:t xml:space="preserve"> XSEDE resource provider systems must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run an AMIE client in order to exchange packets with 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XSEDE and properly create and link local resource user ac-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counts with the central XSEDE user accounts. The decades-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old AMIE software and protocol has been extended to work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for XSEDE in a number of ways over the years but has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become convoluted and poorly understood. The current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AMIE version for XSEDE also lacks any working client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implementation. It took several months of work to get 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working AMIE client implemented for Anvil, and much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this was due to misunderstandings about how AMIE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worked and not encountering many of the protocol sce-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narios until well after we started receiving production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packets from XSEDE.</w:t>
      </w:r>
    </w:p>
    <w:p>
      <w:pPr>
        <w:autoSpaceDN w:val="0"/>
        <w:autoSpaceDE w:val="0"/>
        <w:widowControl/>
        <w:spacing w:line="210" w:lineRule="exact" w:before="48" w:after="0"/>
        <w:ind w:left="720" w:right="0" w:hanging="26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(c)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Usage reporting: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Usage reporting for XSEDE has moved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 a new, custom XSEDE usage reporting protocol which</w:t>
      </w:r>
    </w:p>
    <w:p>
      <w:pPr>
        <w:sectPr>
          <w:type w:val="nextColumn"/>
          <w:pgSz w:w="12240" w:h="15840"/>
          <w:pgMar w:top="610" w:right="1018" w:bottom="822" w:left="1070" w:header="720" w:footer="720" w:gutter="0"/>
          <w:cols w:space="720" w:num="2" w:equalWidth="0"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0"/>
        <w:ind w:left="0" w:right="0"/>
      </w:pPr>
    </w:p>
    <w:p>
      <w:pPr>
        <w:autoSpaceDN w:val="0"/>
        <w:tabs>
          <w:tab w:pos="9460" w:val="left"/>
        </w:tabs>
        <w:autoSpaceDE w:val="0"/>
        <w:widowControl/>
        <w:spacing w:line="162" w:lineRule="exact" w:before="0" w:after="288"/>
        <w:ind w:left="0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 xml:space="preserve">PEARC ’22, July 10–14, 2022, Boston, MA, USA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4"/>
        </w:rPr>
        <w:t>Song, et al.</w:t>
      </w:r>
    </w:p>
    <w:p>
      <w:pPr>
        <w:sectPr>
          <w:pgSz w:w="12240" w:h="15840"/>
          <w:pgMar w:top="612" w:right="1026" w:bottom="822" w:left="1076" w:header="720" w:footer="720" w:gutter="0"/>
          <w:cols w:space="720" w:num="1" w:equalWidth="0"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65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only one other resource provider is known to have used.</w:t>
      </w:r>
    </w:p>
    <w:p>
      <w:pPr>
        <w:autoSpaceDN w:val="0"/>
        <w:autoSpaceDE w:val="0"/>
        <w:widowControl/>
        <w:spacing w:line="220" w:lineRule="exact" w:before="28" w:after="0"/>
        <w:ind w:left="652" w:right="144" w:firstLine="0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Developing this client for Anvil required addressing Slurm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job log idiosyncrasies when translating Slurm records for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submission to the XSEDE service. We also encountered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some transparency and scaling issues with the XSEDE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service itself. XSEDE development staff for the new us-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age reporting system have been quite responsive to this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though, and have already started to implement new APIs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 allow insight into what the reporting system is do-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ing with uploaded data, and restructuring the service to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avoid these scaling failures. These new APIs developed by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XSEDE as part of the Anvil integration will make future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usage reporting from other resource providers much eas-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ier, and the Anvil client developed will be shared across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XSEDE community as well.</w:t>
      </w:r>
    </w:p>
    <w:p>
      <w:pPr>
        <w:autoSpaceDN w:val="0"/>
        <w:tabs>
          <w:tab w:pos="392" w:val="left"/>
          <w:tab w:pos="488" w:val="left"/>
          <w:tab w:pos="650" w:val="left"/>
          <w:tab w:pos="654" w:val="left"/>
          <w:tab w:pos="658" w:val="left"/>
        </w:tabs>
        <w:autoSpaceDE w:val="0"/>
        <w:widowControl/>
        <w:spacing w:line="218" w:lineRule="exact" w:before="44" w:after="0"/>
        <w:ind w:left="21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(2)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Scale Considerations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One of the key lessons learned dur-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ing the deployment of Anvil is how to detect and address scal-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ability issues. Purdue’s campus community clusters are typi-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cally composed of 500-600 compute nodes, whereas, Anvil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consists of 1048 compute nodes. This 2x increase in cluster </w:t>
      </w:r>
      <w:r>
        <w:tab/>
      </w:r>
      <w:r>
        <w:rPr>
          <w:w w:val="98.92681969536675"/>
          <w:rFonts w:ascii="LinLibertineT" w:hAnsi="LinLibertineT" w:eastAsia="LinLibertineT"/>
          <w:b w:val="0"/>
          <w:i w:val="0"/>
          <w:color w:val="000000"/>
          <w:sz w:val="18"/>
        </w:rPr>
        <w:t xml:space="preserve">size led to a variety of subtle issues which never manifested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 campus clusters. We highlight three of these issues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our design choices here: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(a)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Reducing system image size: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The compute nodes on Anvil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are provisioned using the xCAT provisioning software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which boots nodes by downloading appropriate OS im-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ages over the management network. However, since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management network is much slower compared to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100Gbps InfiniBand fabric, this has the potential for net-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work congestion when booting the entire cluster from 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cold state. To avoid this, we carefully removed all unnec-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essary RPMs (such as multimedia and graphics libraries) 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from the system images without reducing Anvil’s usability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or its interactive compute capability. Compared to Pur-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due’s campus clusters, the Anvil compute images are re-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duced by 50% or more in size.</w:t>
      </w:r>
    </w:p>
    <w:p>
      <w:pPr>
        <w:autoSpaceDN w:val="0"/>
        <w:tabs>
          <w:tab w:pos="658" w:val="left"/>
        </w:tabs>
        <w:autoSpaceDE w:val="0"/>
        <w:widowControl/>
        <w:spacing w:line="218" w:lineRule="exact" w:before="40" w:after="0"/>
        <w:ind w:left="380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(b)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Choice of subnet manager (SM):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During early deployment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Anvil, we used the embedded subnet manager on one 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of the switches on the Anvil fabric. However, as we racked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powered on the entire cluster, a subset of the nodes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could not join the fabric. After investigation, we found 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that the embedded subnet manager had a maximum capac-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ity of 1024 InfiniBand ports which is lower than Anvil’s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cluster size. We therefore migrated the subnet manager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 a software-based SM, or</w:t>
      </w:r>
      <w:r>
        <w:rPr>
          <w:rFonts w:ascii="" w:hAnsi="" w:eastAsia=""/>
          <w:b w:val="0"/>
          <w:i w:val="0"/>
          <w:color w:val="000000"/>
          <w:sz w:val="18"/>
        </w:rPr>
        <w:t xml:space="preserve"> opensm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which allowed us to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connect all the nodes to the fabric without further issues.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(c)</w:t>
      </w:r>
      <w:r>
        <w:rPr>
          <w:rFonts w:ascii="LinLibertineTI" w:hAnsi="LinLibertineTI" w:eastAsia="LinLibertineTI"/>
          <w:b w:val="0"/>
          <w:i/>
          <w:color w:val="000000"/>
          <w:sz w:val="18"/>
        </w:rPr>
        <w:t xml:space="preserve"> Defining ARP table size: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The Linux kernel uses ARP (Ad-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dress Resolution Protocol) tables to map IP addresses to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corresponding MAC addresses. However, the default size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of ARP tables in Linux is set to 1024. This initially re-</w:t>
      </w:r>
      <w:r>
        <w:tab/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sulted in instability of the GPFS filesystem for Anvil as the </w:t>
      </w:r>
      <w:r>
        <w:tab/>
      </w:r>
      <w:r>
        <w:rPr>
          <w:w w:val="98.67567486233182"/>
          <w:rFonts w:ascii="LinLibertineT" w:hAnsi="LinLibertineT" w:eastAsia="LinLibertineT"/>
          <w:b w:val="0"/>
          <w:i w:val="0"/>
          <w:color w:val="000000"/>
          <w:sz w:val="18"/>
        </w:rPr>
        <w:t>storage servers could only connect to a subset of the com-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pute nodes. To address this issue, we increased the maxi-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mum size of the ARP cache 8x by setting appropriate ker-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nel parameters:</w:t>
      </w:r>
      <w:r>
        <w:rPr>
          <w:rFonts w:ascii="" w:hAnsi="" w:eastAsia=""/>
          <w:b w:val="0"/>
          <w:i w:val="0"/>
          <w:color w:val="000000"/>
          <w:sz w:val="18"/>
        </w:rPr>
        <w:t xml:space="preserve"> net.ipv4.neigh.default.gc_thresh3 </w:t>
      </w:r>
      <w:r>
        <w:tab/>
      </w:r>
      <w:r>
        <w:rPr>
          <w:rFonts w:ascii="" w:hAnsi="" w:eastAsia=""/>
          <w:b w:val="0"/>
          <w:i w:val="0"/>
          <w:color w:val="000000"/>
          <w:sz w:val="18"/>
        </w:rPr>
        <w:t>= 8192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sectPr>
          <w:type w:val="continuous"/>
          <w:pgSz w:w="12240" w:h="15840"/>
          <w:pgMar w:top="612" w:right="1026" w:bottom="822" w:left="1076" w:header="720" w:footer="720" w:gutter="0"/>
          <w:cols w:space="720" w:num="2" w:equalWidth="0"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tabs>
          <w:tab w:pos="558" w:val="left"/>
        </w:tabs>
        <w:autoSpaceDE w:val="0"/>
        <w:widowControl/>
        <w:spacing w:line="292" w:lineRule="exact" w:before="0" w:after="0"/>
        <w:ind w:left="22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6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EARLY USER OPERATIONS</w:t>
      </w:r>
    </w:p>
    <w:p>
      <w:pPr>
        <w:autoSpaceDN w:val="0"/>
        <w:autoSpaceDE w:val="0"/>
        <w:widowControl/>
        <w:spacing w:line="220" w:lineRule="exact" w:before="30" w:after="0"/>
        <w:ind w:left="228" w:right="0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Anvil Early User Program (EUP) was established in the spring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2021 and applications were solicited through various venues. 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total 39 applications were received out of which 29 were granted.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early users include a diverse group, representing researchers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from 22 institutions, 17 fields of science, including 31% who have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not had XSEDE allocations previously. The first cohort of early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users started using Anvil on 10/31/21 and the formal EUP was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concluded on 12/31/21. Nearly 60% of the user groups requested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CPU resources alone, while the rest requested a mix of CPU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GPU resources.</w:t>
      </w:r>
    </w:p>
    <w:p>
      <w:pPr>
        <w:autoSpaceDN w:val="0"/>
        <w:tabs>
          <w:tab w:pos="722" w:val="left"/>
        </w:tabs>
        <w:autoSpaceDE w:val="0"/>
        <w:widowControl/>
        <w:spacing w:line="294" w:lineRule="exact" w:before="194" w:after="0"/>
        <w:ind w:left="22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6.1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System Usage during EUP</w:t>
      </w:r>
    </w:p>
    <w:p>
      <w:pPr>
        <w:autoSpaceDN w:val="0"/>
        <w:autoSpaceDE w:val="0"/>
        <w:widowControl/>
        <w:spacing w:line="220" w:lineRule="exact" w:before="28" w:after="0"/>
        <w:ind w:left="222" w:right="5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During the two month EUP, 24 early user groups submitted a total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of 144</w:t>
      </w:r>
      <w:r>
        <w:rPr>
          <w:rFonts w:ascii="rtxmi" w:hAnsi="rtxmi" w:eastAsia="rtxmi"/>
          <w:b w:val="0"/>
          <w:i w:val="0"/>
          <w:color w:val="000000"/>
          <w:sz w:val="18"/>
        </w:rPr>
        <w:t>,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 662 jobs on Anvil and consumed a total of 9</w:t>
      </w:r>
      <w:r>
        <w:rPr>
          <w:rFonts w:ascii="rtxmi" w:hAnsi="rtxmi" w:eastAsia="rtxmi"/>
          <w:b w:val="0"/>
          <w:i w:val="0"/>
          <w:color w:val="000000"/>
          <w:sz w:val="18"/>
        </w:rPr>
        <w:t>.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8M CPU service </w:t>
      </w:r>
      <w:r>
        <w:rPr>
          <w:w w:val="98.67567486233182"/>
          <w:rFonts w:ascii="LinLibertineT" w:hAnsi="LinLibertineT" w:eastAsia="LinLibertineT"/>
          <w:b w:val="0"/>
          <w:i w:val="0"/>
          <w:color w:val="000000"/>
          <w:sz w:val="18"/>
        </w:rPr>
        <w:t>units and 42</w:t>
      </w:r>
      <w:r>
        <w:rPr>
          <w:rFonts w:ascii="rtxmi" w:hAnsi="rtxmi" w:eastAsia="rtxmi"/>
          <w:b w:val="0"/>
          <w:i w:val="0"/>
          <w:color w:val="000000"/>
          <w:sz w:val="18"/>
        </w:rPr>
        <w:t>.</w:t>
      </w:r>
      <w:r>
        <w:rPr>
          <w:w w:val="98.67567486233182"/>
          <w:rFonts w:ascii="LinLibertineT" w:hAnsi="LinLibertineT" w:eastAsia="LinLibertineT"/>
          <w:b w:val="0"/>
          <w:i w:val="0"/>
          <w:color w:val="000000"/>
          <w:sz w:val="18"/>
        </w:rPr>
        <w:t xml:space="preserve">7K GPU service units. The observed job sizes bear out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our CPU and GPU node design choices. Specifically, a majority of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CPU jobs requested fewer than 128 cores and more than 99% of the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jobs used fewer than 1024 cores. The top five largest individual jobs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(in terms of CPU cores) used between 2100 and 7200 cores which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still fit within one rack on Anvil. A majority of GPU jobs requested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either 1 or 4 GPUs. System utilization saw a steady increase during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two month EUP period, peaking at nearly 45% in the second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half of December 2021.</w:t>
      </w:r>
    </w:p>
    <w:p>
      <w:pPr>
        <w:autoSpaceDN w:val="0"/>
        <w:tabs>
          <w:tab w:pos="722" w:val="left"/>
        </w:tabs>
        <w:autoSpaceDE w:val="0"/>
        <w:widowControl/>
        <w:spacing w:line="294" w:lineRule="exact" w:before="194" w:after="0"/>
        <w:ind w:left="22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6.2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Science Accomplishments</w:t>
      </w:r>
    </w:p>
    <w:p>
      <w:pPr>
        <w:autoSpaceDN w:val="0"/>
        <w:autoSpaceDE w:val="0"/>
        <w:widowControl/>
        <w:spacing w:line="218" w:lineRule="exact" w:before="28" w:after="0"/>
        <w:ind w:left="144" w:right="0" w:firstLine="0"/>
        <w:jc w:val="center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The computations carried out on Anvil during the early user period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also enabled tangible science accomplishments in several domains.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We report on the accomplishments of four such early user groups.</w:t>
      </w:r>
    </w:p>
    <w:p>
      <w:pPr>
        <w:autoSpaceDN w:val="0"/>
        <w:tabs>
          <w:tab w:pos="730" w:val="left"/>
        </w:tabs>
        <w:autoSpaceDE w:val="0"/>
        <w:widowControl/>
        <w:spacing w:line="224" w:lineRule="exact" w:before="100" w:after="0"/>
        <w:ind w:left="220" w:right="0" w:firstLine="0"/>
        <w:jc w:val="left"/>
      </w:pPr>
      <w:r>
        <w:rPr>
          <w:rFonts w:ascii="LinBiolinumTI" w:hAnsi="LinBiolinumTI" w:eastAsia="LinBiolinumTI"/>
          <w:b w:val="0"/>
          <w:i/>
          <w:color w:val="000000"/>
          <w:sz w:val="18"/>
        </w:rPr>
        <w:t xml:space="preserve">6.2.1 </w:t>
      </w:r>
      <w:r>
        <w:tab/>
      </w:r>
      <w:r>
        <w:rPr>
          <w:rFonts w:ascii="LinBiolinumTI" w:hAnsi="LinBiolinumTI" w:eastAsia="LinBiolinumTI"/>
          <w:b w:val="0"/>
          <w:i/>
          <w:color w:val="000000"/>
          <w:sz w:val="18"/>
        </w:rPr>
        <w:t>Astronomy and Planetary Sciences.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This group seeks to de-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velop numerical tools to model obliquely rotating magnetic mas-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sive star winds, and a rare (and only known) magnetic massive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star binary system,</w:t>
      </w:r>
      <w:r>
        <w:rPr>
          <w:rFonts w:ascii="LinLibertineI" w:hAnsi="LinLibertineI" w:eastAsia="LinLibertineI"/>
          <w:b w:val="0"/>
          <w:i/>
          <w:color w:val="000000"/>
          <w:sz w:val="18"/>
        </w:rPr>
        <w:t xml:space="preserve"> ϵ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Lupi. The developed models utilize full 3D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magnetohydrodynamics(MHD) methods that require over 64,000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core hours for a single successful model run. The group was able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to carry out a model run for nearly 83,000 core hours and visual-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ize the results of model evolution at various time snapshots.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visualizations (Figure 4) helped the researcher confirm episodic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centrifugal mass ejection and the expected slow velocity of dense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wind material flow.</w:t>
      </w:r>
    </w:p>
    <w:p>
      <w:pPr>
        <w:autoSpaceDN w:val="0"/>
        <w:tabs>
          <w:tab w:pos="722" w:val="left"/>
        </w:tabs>
        <w:autoSpaceDE w:val="0"/>
        <w:widowControl/>
        <w:spacing w:line="224" w:lineRule="exact" w:before="102" w:after="0"/>
        <w:ind w:left="220" w:right="0" w:firstLine="0"/>
        <w:jc w:val="left"/>
      </w:pPr>
      <w:r>
        <w:rPr>
          <w:rFonts w:ascii="LinBiolinumTI" w:hAnsi="LinBiolinumTI" w:eastAsia="LinBiolinumTI"/>
          <w:b w:val="0"/>
          <w:i/>
          <w:color w:val="000000"/>
          <w:sz w:val="18"/>
        </w:rPr>
        <w:t xml:space="preserve">6.2.2 </w:t>
      </w:r>
      <w:r>
        <w:tab/>
      </w:r>
      <w:r>
        <w:rPr>
          <w:rFonts w:ascii="LinBiolinumTI" w:hAnsi="LinBiolinumTI" w:eastAsia="LinBiolinumTI"/>
          <w:b w:val="0"/>
          <w:i/>
          <w:color w:val="000000"/>
          <w:sz w:val="18"/>
        </w:rPr>
        <w:t>Bioinformatics.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This early user sought to carry out analysis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of 648 human whole-genome bisulfite sequencing (WGBS) samples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created as a part of a research protocol involving DNA methylation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patterns in psychiatric syndromes such as PTSD. This involved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running a toolchain of several well-known bioinfomatics tools,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including a GPU-accelerated short-read alignment tool created by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this researcher. Computations on Anvil enabled the researcher to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evaluate the performance of their GPU-accelerated tool on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A100 GPUs, and achieve much better throughput (Figure 5) when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compared to other XSEDE systems due to a combination of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A100 performance and improved filesystem (GPFS) I/O speeds.</w:t>
      </w:r>
    </w:p>
    <w:p>
      <w:pPr>
        <w:autoSpaceDN w:val="0"/>
        <w:tabs>
          <w:tab w:pos="728" w:val="left"/>
        </w:tabs>
        <w:autoSpaceDE w:val="0"/>
        <w:widowControl/>
        <w:spacing w:line="404" w:lineRule="exact" w:before="0" w:after="0"/>
        <w:ind w:left="228" w:right="0" w:firstLine="0"/>
        <w:jc w:val="left"/>
      </w:pPr>
      <w:r>
        <w:rPr>
          <w:rFonts w:ascii="LinBiolinumTI" w:hAnsi="LinBiolinumTI" w:eastAsia="LinBiolinumTI"/>
          <w:b w:val="0"/>
          <w:i/>
          <w:color w:val="000000"/>
          <w:sz w:val="18"/>
        </w:rPr>
        <w:t xml:space="preserve">6.2.3 </w:t>
      </w:r>
      <w:r>
        <w:tab/>
      </w:r>
      <w:r>
        <w:rPr>
          <w:rFonts w:ascii="LinBiolinumTI" w:hAnsi="LinBiolinumTI" w:eastAsia="LinBiolinumTI"/>
          <w:b w:val="0"/>
          <w:i/>
          <w:color w:val="000000"/>
          <w:sz w:val="18"/>
        </w:rPr>
        <w:t>Computer-aided Drug Design.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GPCRs serve as the primary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targets of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∼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1</w:t>
      </w:r>
      <w:r>
        <w:rPr>
          <w:rFonts w:ascii="txsys" w:hAnsi="txsys" w:eastAsia="txsys"/>
          <w:b w:val="0"/>
          <w:i w:val="0"/>
          <w:color w:val="000000"/>
          <w:sz w:val="18"/>
        </w:rPr>
        <w:t>/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3 of the currently marketed drugs; however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molecular mechanisms by which GPCRs catalyze the G protein</w:t>
      </w:r>
    </w:p>
    <w:p>
      <w:pPr>
        <w:sectPr>
          <w:type w:val="nextColumn"/>
          <w:pgSz w:w="12240" w:h="15840"/>
          <w:pgMar w:top="612" w:right="1026" w:bottom="822" w:left="1076" w:header="720" w:footer="720" w:gutter="0"/>
          <w:cols w:space="720" w:num="2" w:equalWidth="0"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0"/>
        <w:ind w:left="0" w:right="0"/>
      </w:pPr>
    </w:p>
    <w:p>
      <w:pPr>
        <w:autoSpaceDN w:val="0"/>
        <w:tabs>
          <w:tab w:pos="7420" w:val="left"/>
        </w:tabs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 xml:space="preserve">Anvil - System Architecture and Experiences from Deployment and Early User Operations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4"/>
        </w:rPr>
        <w:t>PEARC ’22, July 10–14, 2022, Boston, MA, USA</w:t>
      </w:r>
    </w:p>
    <w:p>
      <w:pPr>
        <w:autoSpaceDN w:val="0"/>
        <w:autoSpaceDE w:val="0"/>
        <w:widowControl/>
        <w:spacing w:line="240" w:lineRule="auto" w:before="29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125720" cy="197992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1979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234" w:after="0"/>
        <w:ind w:left="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Figure 4: Slices through Z-plane from the 3D MHD simulation, logarithm of density (left), radial velocity (right) at the 800 ks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physical time snapshot. (Images courtesy of Asif ud-Doula).</w:t>
      </w:r>
    </w:p>
    <w:p>
      <w:pPr>
        <w:autoSpaceDN w:val="0"/>
        <w:autoSpaceDE w:val="0"/>
        <w:widowControl/>
        <w:spacing w:line="240" w:lineRule="auto" w:before="2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63059" cy="1981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59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230" w:after="302"/>
        <w:ind w:left="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Figure 5: Average end-to-end processing time and percentage of overall processing time per WGBS sample on Anvil versus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another XSEDE capacity system. (Images courtesy of Richard Wilton in [19]).</w:t>
      </w:r>
    </w:p>
    <w:p>
      <w:pPr>
        <w:sectPr>
          <w:pgSz w:w="12240" w:h="15840"/>
          <w:pgMar w:top="612" w:right="1026" w:bottom="822" w:left="1072" w:header="720" w:footer="720" w:gutter="0"/>
          <w:cols w:space="720" w:num="1" w:equalWidth="0">
            <w:col w:w="10142" w:space="0"/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4" w:right="246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activated exchanges are not yet well understood. This group had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previously developed Gaussian accelerated molecular dynamics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computational methods to accelerate biomolecular simulations by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orders of magnitude. Anvil GPUs enabled the group to carry out </w:t>
      </w:r>
      <w:r>
        <w:rPr>
          <w:w w:val="98.77621332804361"/>
          <w:rFonts w:ascii="LinLibertineT" w:hAnsi="LinLibertineT" w:eastAsia="LinLibertineT"/>
          <w:b w:val="0"/>
          <w:i w:val="0"/>
          <w:color w:val="000000"/>
          <w:sz w:val="18"/>
        </w:rPr>
        <w:t xml:space="preserve">long-timescale (2000 ns) simulations (Figure 6) with greater speeds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 capture the spontaneous activation of the G protein. In their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simulations, Anvil achieved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∼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1</w:t>
      </w:r>
      <w:r>
        <w:rPr>
          <w:rFonts w:ascii="rtxmi" w:hAnsi="rtxmi" w:eastAsia="rtxmi"/>
          <w:b w:val="0"/>
          <w:i w:val="0"/>
          <w:color w:val="000000"/>
          <w:sz w:val="18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48 speedup when compared to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other capacity XSEDE systems due to the A100 GPUs and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filesystem I/O speeds.</w:t>
      </w:r>
    </w:p>
    <w:p>
      <w:pPr>
        <w:autoSpaceDN w:val="0"/>
        <w:tabs>
          <w:tab w:pos="504" w:val="left"/>
        </w:tabs>
        <w:autoSpaceDE w:val="0"/>
        <w:widowControl/>
        <w:spacing w:line="224" w:lineRule="exact" w:before="150" w:after="0"/>
        <w:ind w:left="4" w:right="144" w:firstLine="0"/>
        <w:jc w:val="left"/>
      </w:pPr>
      <w:r>
        <w:rPr>
          <w:rFonts w:ascii="LinBiolinumTI" w:hAnsi="LinBiolinumTI" w:eastAsia="LinBiolinumTI"/>
          <w:b w:val="0"/>
          <w:i/>
          <w:color w:val="000000"/>
          <w:sz w:val="18"/>
        </w:rPr>
        <w:t xml:space="preserve">6.2.4 </w:t>
      </w:r>
      <w:r>
        <w:tab/>
      </w:r>
      <w:r>
        <w:rPr>
          <w:rFonts w:ascii="LinBiolinumTI" w:hAnsi="LinBiolinumTI" w:eastAsia="LinBiolinumTI"/>
          <w:b w:val="0"/>
          <w:i/>
          <w:color w:val="000000"/>
          <w:sz w:val="18"/>
        </w:rPr>
        <w:t>Biophysics.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This early user group sought to apply Anvil to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the task of carrying out all-atom molecular dynamics (MD) sim-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ulations to calculate the diffusivity and permeability coefficients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for small molecules across a synthetic</w:t>
      </w:r>
      <w:r>
        <w:rPr>
          <w:rFonts w:ascii="LinLibertineI" w:hAnsi="LinLibertineI" w:eastAsia="LinLibertineI"/>
          <w:b w:val="0"/>
          <w:i/>
          <w:color w:val="000000"/>
          <w:sz w:val="18"/>
        </w:rPr>
        <w:t xml:space="preserve"> β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-carboxysome shell. Car-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boxysome proteins form a selective permeable protein shell encap-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sulating photosynthesis enzymes and play a critical role in carbon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fixation for plant energy production. Calculations of permeabil-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ity coefficients across a synthetic carboxysome shell enable the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researchers to analyze</w:t>
      </w:r>
      <w:r>
        <w:rPr>
          <w:rFonts w:ascii="LinLibertineI" w:hAnsi="LinLibertineI" w:eastAsia="LinLibertineI"/>
          <w:b w:val="0"/>
          <w:i/>
          <w:color w:val="000000"/>
          <w:sz w:val="18"/>
        </w:rPr>
        <w:t xml:space="preserve"> CO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concentrating mechanisms that are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posited to be operating in photosynthetic bacteria. The A100 GPUs</w:t>
      </w:r>
    </w:p>
    <w:p>
      <w:pPr>
        <w:sectPr>
          <w:type w:val="continuous"/>
          <w:pgSz w:w="12240" w:h="15840"/>
          <w:pgMar w:top="612" w:right="1026" w:bottom="822" w:left="1072" w:header="720" w:footer="720" w:gutter="0"/>
          <w:cols w:space="720" w:num="2" w:equalWidth="0">
            <w:col w:w="5060" w:space="0"/>
            <w:col w:w="5082" w:space="0"/>
            <w:col w:w="10142" w:space="0"/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8" w:after="0"/>
        <w:ind w:left="220" w:right="5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NVLINK interconnects between the four GPUs on one Anvil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node provides a 2-3x performance boost for their MD simulations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when compared to the V100 GPUs available on their campus HPC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systems (Figure 7).</w:t>
      </w:r>
    </w:p>
    <w:p>
      <w:pPr>
        <w:autoSpaceDN w:val="0"/>
        <w:tabs>
          <w:tab w:pos="722" w:val="left"/>
        </w:tabs>
        <w:autoSpaceDE w:val="0"/>
        <w:widowControl/>
        <w:spacing w:line="292" w:lineRule="exact" w:before="316" w:after="0"/>
        <w:ind w:left="22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6.3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User Feedback</w:t>
      </w:r>
    </w:p>
    <w:p>
      <w:pPr>
        <w:autoSpaceDN w:val="0"/>
        <w:autoSpaceDE w:val="0"/>
        <w:widowControl/>
        <w:spacing w:line="220" w:lineRule="exact" w:before="28" w:after="0"/>
        <w:ind w:left="144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 late December 2021 the Anvil team carried out an anonymous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online survey of the early users. Users were asked seven Likert scale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questions and one additional question on how Anvil has helped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their research. 18 responses were received out of 40 active users 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Anvil (estimated based on the number of users active on the Anvil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support Slack channel). The responses to the free form question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overwhelmingly cited the Anvil A100 GPUs and the filesystem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(GPFS) I/O performance as being responsible for improved perfor-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mance results. Similarly, the response was overwhelmingly positive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on the seven Likert scale questions. All 18 respondents reported ac-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cess and login to Anvil as being either extremely or somewhat easy,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14 respondents were able to run their first successful job within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a day, 17 respondents found all the necessary compilers, libraries,</w:t>
      </w:r>
    </w:p>
    <w:p>
      <w:pPr>
        <w:sectPr>
          <w:type w:val="nextColumn"/>
          <w:pgSz w:w="12240" w:h="15840"/>
          <w:pgMar w:top="612" w:right="1026" w:bottom="822" w:left="1072" w:header="720" w:footer="720" w:gutter="0"/>
          <w:cols w:space="720" w:num="2" w:equalWidth="0">
            <w:col w:w="5060" w:space="0"/>
            <w:col w:w="5082" w:space="0"/>
            <w:col w:w="10142" w:space="0"/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0"/>
        <w:ind w:left="0" w:right="0"/>
      </w:pPr>
    </w:p>
    <w:p>
      <w:pPr>
        <w:autoSpaceDN w:val="0"/>
        <w:tabs>
          <w:tab w:pos="9466" w:val="left"/>
        </w:tabs>
        <w:autoSpaceDE w:val="0"/>
        <w:widowControl/>
        <w:spacing w:line="162" w:lineRule="exact" w:before="0" w:after="0"/>
        <w:ind w:left="6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 xml:space="preserve">PEARC ’22, July 10–14, 2022, Boston, MA, USA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4"/>
        </w:rPr>
        <w:t>Song, et al.</w:t>
      </w:r>
    </w:p>
    <w:p>
      <w:pPr>
        <w:autoSpaceDN w:val="0"/>
        <w:autoSpaceDE w:val="0"/>
        <w:widowControl/>
        <w:spacing w:line="240" w:lineRule="auto" w:before="29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63059" cy="197992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59" cy="1979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234" w:after="0"/>
        <w:ind w:left="0" w:right="0" w:firstLine="6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Figure 6: 2000 ns GaMD simulations captured spontaneous activation of the G protein by the GPCR. (Images courtesy of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Yinglong Miao).</w:t>
      </w:r>
    </w:p>
    <w:p>
      <w:pPr>
        <w:autoSpaceDN w:val="0"/>
        <w:autoSpaceDE w:val="0"/>
        <w:widowControl/>
        <w:spacing w:line="240" w:lineRule="auto" w:before="2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5800" cy="1981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230" w:after="302"/>
        <w:ind w:left="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>Figure 7: Performance comparison between A100 (Anvil) and V100 (campus resource) GPUs for MD simulations. (Images cour-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tesy of Joshua Vermaas).</w:t>
      </w:r>
    </w:p>
    <w:p>
      <w:pPr>
        <w:sectPr>
          <w:pgSz w:w="12240" w:h="15840"/>
          <w:pgMar w:top="612" w:right="1024" w:bottom="822" w:left="1070" w:header="720" w:footer="720" w:gutter="0"/>
          <w:cols w:space="720" w:num="1" w:equalWidth="0">
            <w:col w:w="10146" w:space="0"/>
            <w:col w:w="5060" w:space="0"/>
            <w:col w:w="5082" w:space="0"/>
            <w:col w:w="10142" w:space="0"/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8" w:after="0"/>
        <w:ind w:left="6" w:right="252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applications available on Anvil, and 13 respondents reported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achieving better performance on Anvil with none reporting worse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performance.</w:t>
      </w:r>
    </w:p>
    <w:p>
      <w:pPr>
        <w:autoSpaceDN w:val="0"/>
        <w:tabs>
          <w:tab w:pos="336" w:val="left"/>
        </w:tabs>
        <w:autoSpaceDE w:val="0"/>
        <w:widowControl/>
        <w:spacing w:line="294" w:lineRule="exact" w:before="214" w:after="0"/>
        <w:ind w:left="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7 </w:t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2"/>
        </w:rPr>
        <w:t>SUMMARY</w:t>
      </w:r>
    </w:p>
    <w:p>
      <w:pPr>
        <w:autoSpaceDN w:val="0"/>
        <w:autoSpaceDE w:val="0"/>
        <w:widowControl/>
        <w:spacing w:line="220" w:lineRule="exact" w:before="28" w:after="0"/>
        <w:ind w:left="0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 this paper, we have described the experiences and outcomes of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Purdue University’s acquisition and deployment of Anvil - provid-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ing advanced CI capabilities and services to support the full range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computational and data-intensive research across all of science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engineering. Following a 56-day early-user operations period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where Anvil demonstrated production operation capabilities, with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97% uptime, in support of science and engineering for 29 early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user research groups, Anvil has entered production operations 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XSEDE.</w:t>
      </w:r>
    </w:p>
    <w:p>
      <w:pPr>
        <w:autoSpaceDN w:val="0"/>
        <w:autoSpaceDE w:val="0"/>
        <w:widowControl/>
        <w:spacing w:line="292" w:lineRule="exact" w:before="216" w:after="0"/>
        <w:ind w:left="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>ACKNOWLEDGMENTS</w:t>
      </w:r>
    </w:p>
    <w:p>
      <w:pPr>
        <w:autoSpaceDN w:val="0"/>
        <w:autoSpaceDE w:val="0"/>
        <w:widowControl/>
        <w:spacing w:line="220" w:lineRule="exact" w:before="28" w:after="0"/>
        <w:ind w:left="6" w:right="252" w:hanging="6"/>
        <w:jc w:val="both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This material is based upon work supported by the National Science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Foundation under Grant No. (OAC-2005632) . The authors wish to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thank our early users for sharing their science accomplishments</w:t>
      </w:r>
    </w:p>
    <w:p>
      <w:pPr>
        <w:sectPr>
          <w:type w:val="continuous"/>
          <w:pgSz w:w="12240" w:h="15840"/>
          <w:pgMar w:top="612" w:right="1024" w:bottom="822" w:left="1070" w:header="720" w:footer="720" w:gutter="0"/>
          <w:cols w:space="720" w:num="2" w:equalWidth="0">
            <w:col w:w="5062" w:space="0"/>
            <w:col w:w="5083" w:space="0"/>
            <w:col w:w="10146" w:space="0"/>
            <w:col w:w="5060" w:space="0"/>
            <w:col w:w="5082" w:space="0"/>
            <w:col w:w="10142" w:space="0"/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8" w:after="0"/>
        <w:ind w:left="220" w:right="52" w:firstLine="0"/>
        <w:jc w:val="both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with the Anvil team and approving their inclusion in this paper; and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Alexander Younts for his work during the design and acquisition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of Anvil.</w:t>
      </w:r>
    </w:p>
    <w:p>
      <w:pPr>
        <w:autoSpaceDN w:val="0"/>
        <w:tabs>
          <w:tab w:pos="292" w:val="left"/>
          <w:tab w:pos="536" w:val="left"/>
        </w:tabs>
        <w:autoSpaceDE w:val="0"/>
        <w:widowControl/>
        <w:spacing w:line="164" w:lineRule="exact" w:before="324" w:after="0"/>
        <w:ind w:left="228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2"/>
        </w:rPr>
        <w:t xml:space="preserve">REFERENCES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G K Andino, M Brazil, M Gribskov, and P Smith. 2017. Advancing the represen-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tation of women in HPC at purdue university. 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hyperlink r:id="rId29" w:history="1">
          <w:r>
            <w:rPr>
              <w:rStyle w:val="Hyperlink"/>
            </w:rPr>
            <w:t xml:space="preserve"> ACM International Confer</w:t>
          </w:r>
        </w:hyperlink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ence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Proceeding Series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, Vol. Part F1287.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29" w:history="1">
          <w:r>
            <w:rPr>
              <w:rStyle w:val="Hyperlink"/>
            </w:rPr>
            <w:t xml:space="preserve">https://doi.org/10.1145/3093338.3104175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[2]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Michael E Baldwin, Xiao Zhu, Pre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29" w:history="1">
          <w:r>
            <w:rPr>
              <w:rStyle w:val="Hyperlink"/>
            </w:rPr>
            <w:t>ston M Smith, Stephen Lien Harrell, Ro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bert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Skeel, and Amiya Maji. 2016. Scholar: a campus HPC resource to enable compu-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tational literacy. 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Education for High-Performance Computing (EduHPC), 2016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Workshop on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IEEE, 25–31.</w:t>
      </w:r>
    </w:p>
    <w:p>
      <w:pPr>
        <w:autoSpaceDN w:val="0"/>
        <w:autoSpaceDE w:val="0"/>
        <w:widowControl/>
        <w:spacing w:line="192" w:lineRule="exact" w:before="0" w:after="0"/>
        <w:ind w:left="29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[3]</w:t>
      </w:r>
      <w:r>
        <w:rPr>
          <w:w w:val="98.92587661743164"/>
          <w:rFonts w:ascii="LinLibertineT" w:hAnsi="LinLibertineT" w:eastAsia="LinLibertineT"/>
          <w:b w:val="0"/>
          <w:i w:val="0"/>
          <w:color w:val="000000"/>
          <w:sz w:val="14"/>
        </w:rPr>
        <w:t xml:space="preserve"> Brendan Burns, Brian Grant, David Oppenheimer, Eric Brewer, and John Wilkes.</w:t>
      </w:r>
    </w:p>
    <w:p>
      <w:pPr>
        <w:autoSpaceDN w:val="0"/>
        <w:tabs>
          <w:tab w:pos="532" w:val="left"/>
          <w:tab w:pos="536" w:val="left"/>
          <w:tab w:pos="4720" w:val="left"/>
        </w:tabs>
        <w:autoSpaceDE w:val="0"/>
        <w:widowControl/>
        <w:spacing w:line="156" w:lineRule="exact" w:before="46" w:after="0"/>
        <w:ind w:left="292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2016. Borg, Omega, and Kubernetes.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Queue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14, 1 (jan 2016), 70–93.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0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0" w:history="1">
          <w:r>
            <w:rPr>
              <w:rStyle w:val="Hyperlink"/>
            </w:rPr>
            <w:t xml:space="preserve">//doi.org/10.1145/2898442.2898444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[4]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0" w:history="1">
          <w:r>
            <w:rPr>
              <w:rStyle w:val="Hyperlink"/>
            </w:rPr>
            <w:t>Cendio AB. [n.d.]. ThinLinc - a re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mote desktop server from Cendio | ThinLinc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by Cendio. ([n. d.]).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1" w:history="1">
          <w:r>
            <w:rPr>
              <w:rStyle w:val="Hyperlink"/>
            </w:rPr>
            <w:t xml:space="preserve">https://www.cendio.com/thinlinc/what-is-thinlinc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[5]</w:t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t xml:space="preserve"> Purdue Research Com</w:t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hyperlink r:id="rId31" w:history="1">
          <w:r>
            <w:rPr>
              <w:rStyle w:val="Hyperlink"/>
            </w:rPr>
            <w:t>puting. [n.d.]. ITaP Research Computing - Data Wor</w:t>
          </w:r>
        </w:hyperlink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t>kbench.</w:t>
      </w:r>
    </w:p>
    <w:p>
      <w:pPr>
        <w:autoSpaceDN w:val="0"/>
        <w:tabs>
          <w:tab w:pos="532" w:val="left"/>
          <w:tab w:pos="536" w:val="left"/>
          <w:tab w:pos="3532" w:val="left"/>
        </w:tabs>
        <w:autoSpaceDE w:val="0"/>
        <w:widowControl/>
        <w:spacing w:line="160" w:lineRule="exact" w:before="32" w:after="0"/>
        <w:ind w:left="292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([n. d.]).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2" w:history="1">
          <w:r>
            <w:rPr>
              <w:rStyle w:val="Hyperlink"/>
            </w:rPr>
            <w:t xml:space="preserve">https://www.rcac.purdue.edu/compute/workbench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[6]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Felipe d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2" w:history="1">
          <w:r>
            <w:rPr>
              <w:rStyle w:val="Hyperlink"/>
            </w:rPr>
            <w:t>a Veiga Leprevost, Björn A Grüning, Saulo Alves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Aflitos, Hannes 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Röst, Julian Uszkoreit, Harald Barsnes, Marc Vaudel, Pablo Moreno, Lau-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rent Gatto, Jonas Weber, Mingze Bai, Rafael C Jimenez, Timo Sachsen-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berg, Julianus Pfeuffer, Roberto Vera Alvarez, Johannes Griss, Alexey I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Nesvizhskii, and Yasset Perez-Riverol. 2017.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BioContainers: an open-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source and community-driven framework for software standardization.</w:t>
      </w:r>
    </w:p>
    <w:p>
      <w:pPr>
        <w:sectPr>
          <w:type w:val="nextColumn"/>
          <w:pgSz w:w="12240" w:h="15840"/>
          <w:pgMar w:top="612" w:right="1024" w:bottom="822" w:left="1070" w:header="720" w:footer="720" w:gutter="0"/>
          <w:cols w:space="720" w:num="2" w:equalWidth="0">
            <w:col w:w="5062" w:space="0"/>
            <w:col w:w="5083" w:space="0"/>
            <w:col w:w="10146" w:space="0"/>
            <w:col w:w="5060" w:space="0"/>
            <w:col w:w="5082" w:space="0"/>
            <w:col w:w="10142" w:space="0"/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0"/>
        <w:ind w:left="0" w:right="0"/>
      </w:pPr>
    </w:p>
    <w:p>
      <w:pPr>
        <w:sectPr>
          <w:pgSz w:w="12240" w:h="15840"/>
          <w:pgMar w:top="612" w:right="1032" w:bottom="1440" w:left="1072" w:header="720" w:footer="720" w:gutter="0"/>
          <w:cols w:space="720" w:num="2" w:equalWidth="0">
            <w:col w:w="5062" w:space="0"/>
            <w:col w:w="5083" w:space="0"/>
            <w:col w:w="10146" w:space="0"/>
            <w:col w:w="5060" w:space="0"/>
            <w:col w:w="5082" w:space="0"/>
            <w:col w:w="10142" w:space="0"/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>Anvil - System Architecture and Experiences from Deployment and Early User Operations</w:t>
      </w:r>
    </w:p>
    <w:p>
      <w:pPr>
        <w:autoSpaceDN w:val="0"/>
        <w:tabs>
          <w:tab w:pos="312" w:val="left"/>
          <w:tab w:pos="1250" w:val="left"/>
          <w:tab w:pos="3468" w:val="left"/>
        </w:tabs>
        <w:autoSpaceDE w:val="0"/>
        <w:widowControl/>
        <w:spacing w:line="166" w:lineRule="exact" w:before="334" w:after="0"/>
        <w:ind w:left="68" w:right="288" w:firstLine="0"/>
        <w:jc w:val="left"/>
      </w:pP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Bioinformatics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33, 16 (03 2017), 2580–2582.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3" w:history="1">
          <w:r>
            <w:rPr>
              <w:rStyle w:val="Hyperlink"/>
            </w:rPr>
            <w:t xml:space="preserve">https://doi.org/10.1093/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3" w:history="1">
          <w:r>
            <w:rPr>
              <w:rStyle w:val="Hyperlink"/>
            </w:rPr>
            <w:t>bioinformatics/btx192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arXiv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4" w:history="1">
          <w:r>
            <w:rPr>
              <w:rStyle w:val="Hyperlink"/>
            </w:rPr>
            <w:t>:https://academic.oup.com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4" w:history="1">
          <w:r>
            <w:rPr>
              <w:rStyle w:val="Hyperlink"/>
            </w:rPr>
            <w:t>/bioinformatics/article-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3" w:history="1">
          <w:r>
            <w:rPr>
              <w:rStyle w:val="Hyperlink"/>
            </w:rPr>
            <w:t>pdf/33/16/2580/251634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4" w:history="1">
          <w:r>
            <w:rPr>
              <w:rStyle w:val="Hyperlink"/>
            </w:rPr>
            <w:t>80/btx1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4" w:history="1">
          <w:r>
            <w:rPr>
              <w:rStyle w:val="Hyperlink"/>
            </w:rPr>
            <w:t xml:space="preserve">92.pdf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[7]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4" w:history="1">
          <w:r>
            <w:rPr>
              <w:rStyle w:val="Hyperlink"/>
            </w:rPr>
            <w:t xml:space="preserve">Todd Gamblin, Matthew LeGendre,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Michael R. Collette, Gregory L. Lee, Adam </w:t>
      </w:r>
      <w:r>
        <w:tab/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t>Moody, Bronis R. de Supinski, and Scott Futral. 2015. The Spack package manager.</w:t>
      </w:r>
    </w:p>
    <w:p>
      <w:pPr>
        <w:autoSpaceDN w:val="0"/>
        <w:tabs>
          <w:tab w:pos="312" w:val="left"/>
        </w:tabs>
        <w:autoSpaceDE w:val="0"/>
        <w:widowControl/>
        <w:spacing w:line="158" w:lineRule="exact" w:before="42" w:after="0"/>
        <w:ind w:left="68" w:right="288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Proceedings of the International Conference for High Performance Computing,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Networking, Storage and Analysis on - SC ’15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. ACM Press, New York, New York,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USA, 1–12.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5" w:history="1">
          <w:r>
            <w:rPr>
              <w:rStyle w:val="Hyperlink"/>
            </w:rPr>
            <w:t xml:space="preserve">https://doi.org/10.1145/2807591.2807623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[8]</w:t>
      </w:r>
      <w:r>
        <w:rPr>
          <w:w w:val="98.82549558367047"/>
          <w:rFonts w:ascii="LinLibertineT" w:hAnsi="LinLibertineT" w:eastAsia="LinLibertineT"/>
          <w:b w:val="0"/>
          <w:i w:val="0"/>
          <w:color w:val="000000"/>
          <w:sz w:val="14"/>
        </w:rPr>
        <w:t xml:space="preserve"> Erik Gough. </w:t>
      </w:r>
      <w:r>
        <w:rPr>
          <w:w w:val="98.82549558367047"/>
          <w:rFonts w:ascii="LinLibertineT" w:hAnsi="LinLibertineT" w:eastAsia="LinLibertineT"/>
          <w:b w:val="0"/>
          <w:i w:val="0"/>
          <w:color w:val="000000"/>
          <w:sz w:val="14"/>
        </w:rPr>
        <w:hyperlink r:id="rId35" w:history="1">
          <w:r>
            <w:rPr>
              <w:rStyle w:val="Hyperlink"/>
            </w:rPr>
            <w:t>[n.d.]. ITaP Research Computing - Intera</w:t>
          </w:r>
        </w:hyperlink>
      </w:r>
      <w:r>
        <w:rPr>
          <w:w w:val="98.82549558367047"/>
          <w:rFonts w:ascii="LinLibertineT" w:hAnsi="LinLibertineT" w:eastAsia="LinLibertineT"/>
          <w:b w:val="0"/>
          <w:i w:val="0"/>
          <w:color w:val="000000"/>
          <w:sz w:val="14"/>
        </w:rPr>
        <w:t xml:space="preserve">ctive Scientific Computing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on the Anvil Composable Subsystem.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6" w:history="1">
          <w:r>
            <w:rPr>
              <w:rStyle w:val="Hyperlink"/>
            </w:rPr>
            <w:t xml:space="preserve">https://www.rcac.purdue.edu/training/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6" w:history="1">
          <w:r>
            <w:rPr>
              <w:rStyle w:val="Hyperlink"/>
            </w:rPr>
            <w:t xml:space="preserve">anvilcomposable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[9]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6" w:history="1">
          <w:r>
            <w:rPr>
              <w:rStyle w:val="Hyperlink"/>
            </w:rPr>
            <w:t>Erik Gough, Sam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Weekly, Brian Werts, and Preston Smith. 2021. Enabling Re-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search and Education through the Geddes Composable Platform. (nov 2021).</w:t>
      </w:r>
    </w:p>
    <w:p>
      <w:pPr>
        <w:autoSpaceDN w:val="0"/>
        <w:tabs>
          <w:tab w:pos="312" w:val="left"/>
        </w:tabs>
        <w:autoSpaceDE w:val="0"/>
        <w:widowControl/>
        <w:spacing w:line="160" w:lineRule="exact" w:before="34" w:after="0"/>
        <w:ind w:left="4" w:right="288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7" w:history="1">
          <w:r>
            <w:rPr>
              <w:rStyle w:val="Hyperlink"/>
            </w:rPr>
            <w:t xml:space="preserve">https://doi.org/10.5281/ZENODO.5796289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[10]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7" w:history="1">
          <w:r>
            <w:rPr>
              <w:rStyle w:val="Hyperlink"/>
            </w:rPr>
            <w:t xml:space="preserve">S Harrell, H A Nam, V Vergara, K Keville,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and D Kamalic. 2015. Student Cluster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Competition: A Multi-disciplinary Undergraduate HPC Educational Tool. In</w:t>
      </w:r>
    </w:p>
    <w:p>
      <w:pPr>
        <w:autoSpaceDN w:val="0"/>
        <w:autoSpaceDE w:val="0"/>
        <w:widowControl/>
        <w:spacing w:line="160" w:lineRule="exact" w:before="8" w:after="0"/>
        <w:ind w:left="312" w:right="288" w:firstLine="0"/>
        <w:jc w:val="left"/>
      </w:pP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EduHPC ’15 Proceedings of the Workshop on Education for High-Performance 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Computing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</w:t>
      </w:r>
    </w:p>
    <w:p>
      <w:pPr>
        <w:autoSpaceDN w:val="0"/>
        <w:tabs>
          <w:tab w:pos="312" w:val="left"/>
        </w:tabs>
        <w:autoSpaceDE w:val="0"/>
        <w:widowControl/>
        <w:spacing w:line="160" w:lineRule="exact" w:before="32" w:after="0"/>
        <w:ind w:left="4" w:right="288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[11]</w:t>
      </w:r>
      <w:r>
        <w:rPr>
          <w:w w:val="98.92587661743164"/>
          <w:rFonts w:ascii="LinLibertineT" w:hAnsi="LinLibertineT" w:eastAsia="LinLibertineT"/>
          <w:b w:val="0"/>
          <w:i w:val="0"/>
          <w:color w:val="000000"/>
          <w:sz w:val="14"/>
        </w:rPr>
        <w:t xml:space="preserve"> Stephen Lien Harrell, Marisa Brazil, Alex Younts, Daniel T. Dietz, Preston Smith,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Erik Gough, Xiao Zhu, and Gladys K. Andino. 2018. Mentoring Undergraduates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into Cyber-Facilitator Roles. In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Proceedings of the Practice and Experience on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Advanced Research Computing - PEARC ’18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. ACM Press, New York, New York,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USA, 1–7.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8" w:history="1">
          <w:r>
            <w:rPr>
              <w:rStyle w:val="Hyperlink"/>
            </w:rPr>
            <w:t xml:space="preserve">https://doi.org/10.1145/3219104.3219138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[12]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Dave Huda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8" w:history="1">
          <w:r>
            <w:rPr>
              <w:rStyle w:val="Hyperlink"/>
            </w:rPr>
            <w:t>k, Doug Johnson, Alan Chalker, Jerem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y Nicklas, Eric Franz, Trey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Dockendorf, and Brian L Mcmichael. 2018. Open OnDemand: A web-based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client portal for HPC centers Software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•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Review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•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Repository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•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Archive. (2018).</w:t>
      </w:r>
    </w:p>
    <w:p>
      <w:pPr>
        <w:autoSpaceDN w:val="0"/>
        <w:autoSpaceDE w:val="0"/>
        <w:widowControl/>
        <w:spacing w:line="194" w:lineRule="exact" w:before="0" w:after="0"/>
        <w:ind w:left="31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39" w:history="1">
          <w:r>
            <w:rPr>
              <w:rStyle w:val="Hyperlink"/>
            </w:rPr>
            <w:t>https://doi.org/10.21105/joss.00622</w:t>
          </w:r>
        </w:hyperlink>
      </w:r>
    </w:p>
    <w:p>
      <w:pPr>
        <w:sectPr>
          <w:type w:val="continuous"/>
          <w:pgSz w:w="12240" w:h="15840"/>
          <w:pgMar w:top="612" w:right="1032" w:bottom="1440" w:left="1072" w:header="720" w:footer="720" w:gutter="0"/>
          <w:cols w:space="720" w:num="2" w:equalWidth="0">
            <w:col w:w="5224" w:space="0"/>
            <w:col w:w="4911" w:space="0"/>
            <w:col w:w="5062" w:space="0"/>
            <w:col w:w="5083" w:space="0"/>
            <w:col w:w="10146" w:space="0"/>
            <w:col w:w="5060" w:space="0"/>
            <w:col w:w="5082" w:space="0"/>
            <w:col w:w="10142" w:space="0"/>
            <w:col w:w="5056" w:space="0"/>
            <w:col w:w="5082" w:space="0"/>
            <w:col w:w="10138" w:space="0"/>
            <w:col w:w="5226" w:space="0"/>
            <w:col w:w="4926" w:space="0"/>
            <w:col w:w="5062" w:space="0"/>
            <w:col w:w="5082" w:space="0"/>
            <w:col w:w="10144" w:space="0"/>
            <w:col w:w="5062" w:space="0"/>
            <w:col w:w="5082" w:space="0"/>
            <w:col w:w="10144" w:space="0"/>
            <w:col w:w="6292" w:space="0"/>
            <w:col w:w="3852" w:space="0"/>
            <w:col w:w="5062" w:space="0"/>
            <w:col w:w="5082" w:space="0"/>
            <w:col w:w="10144" w:space="0"/>
            <w:col w:w="5060" w:space="0"/>
            <w:col w:w="5088" w:space="0"/>
            <w:col w:w="1014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0" w:right="44" w:firstLine="0"/>
        <w:jc w:val="right"/>
      </w:pPr>
      <w:r>
        <w:rPr>
          <w:rFonts w:ascii="LinBiolinumT" w:hAnsi="LinBiolinumT" w:eastAsia="LinBiolinumT"/>
          <w:b w:val="0"/>
          <w:i w:val="0"/>
          <w:color w:val="000000"/>
          <w:sz w:val="14"/>
        </w:rPr>
        <w:t>PEARC ’22, July 10–14, 2022, Boston, MA, USA</w:t>
      </w:r>
    </w:p>
    <w:p>
      <w:pPr>
        <w:autoSpaceDN w:val="0"/>
        <w:autoSpaceDE w:val="0"/>
        <w:widowControl/>
        <w:spacing w:line="192" w:lineRule="exact" w:before="332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[13]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NVIDIA. [n.d.]. NGC Overview :: NVIDIA GPU Cloud Documentation. ([n. d.]).</w:t>
      </w:r>
    </w:p>
    <w:p>
      <w:pPr>
        <w:autoSpaceDN w:val="0"/>
        <w:tabs>
          <w:tab w:pos="372" w:val="left"/>
        </w:tabs>
        <w:autoSpaceDE w:val="0"/>
        <w:widowControl/>
        <w:spacing w:line="160" w:lineRule="exact" w:before="32" w:after="0"/>
        <w:ind w:left="64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0" w:history="1">
          <w:r>
            <w:rPr>
              <w:rStyle w:val="Hyperlink"/>
            </w:rPr>
            <w:t xml:space="preserve">https://docs.nvidia.com/ngc/ngc-overview/index.html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[14]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0" w:history="1">
          <w:r>
            <w:rPr>
              <w:rStyle w:val="Hyperlink"/>
            </w:rPr>
            <w:t xml:space="preserve">Rancher. [n.d.]. Enterprise Kubernetes Management |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Rancher.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1" w:history="1">
          <w:r>
            <w:rPr>
              <w:rStyle w:val="Hyperlink"/>
            </w:rPr>
            <w:t>https://rancher.</w:t>
          </w:r>
        </w:hyperlink>
      </w:r>
    </w:p>
    <w:p>
      <w:pPr>
        <w:autoSpaceDN w:val="0"/>
        <w:tabs>
          <w:tab w:pos="372" w:val="left"/>
        </w:tabs>
        <w:autoSpaceDE w:val="0"/>
        <w:widowControl/>
        <w:spacing w:line="158" w:lineRule="exact" w:before="36" w:after="0"/>
        <w:ind w:left="64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1" w:history="1">
          <w:r>
            <w:rPr>
              <w:rStyle w:val="Hyperlink"/>
            </w:rPr>
            <w:t xml:space="preserve">com/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[15]</w:t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t xml:space="preserve"> </w:t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hyperlink r:id="rId41" w:history="1">
          <w:r>
            <w:rPr>
              <w:rStyle w:val="Hyperlink"/>
            </w:rPr>
            <w:t xml:space="preserve">John </w:t>
          </w:r>
        </w:hyperlink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t xml:space="preserve">Towns. 2020. XSEDE Annual Report for Report Year 4 and Program Plan for </w:t>
      </w:r>
      <w:r>
        <w:tab/>
      </w:r>
      <w:r>
        <w:rPr>
          <w:w w:val="98.77527100699288"/>
          <w:rFonts w:ascii="LinLibertineT" w:hAnsi="LinLibertineT" w:eastAsia="LinLibertineT"/>
          <w:b w:val="0"/>
          <w:i w:val="0"/>
          <w:color w:val="000000"/>
          <w:sz w:val="14"/>
        </w:rPr>
        <w:t xml:space="preserve">Project Year 10. (may 2020). </w:t>
      </w:r>
      <w:r>
        <w:rPr>
          <w:w w:val="98.77527100699288"/>
          <w:rFonts w:ascii="LinLibertineT" w:hAnsi="LinLibertineT" w:eastAsia="LinLibertineT"/>
          <w:b w:val="0"/>
          <w:i w:val="0"/>
          <w:color w:val="000000"/>
          <w:sz w:val="14"/>
        </w:rPr>
        <w:hyperlink r:id="rId42" w:history="1">
          <w:r>
            <w:rPr>
              <w:rStyle w:val="Hyperlink"/>
            </w:rPr>
            <w:t xml:space="preserve">https://www.ideals.illinois.edu/handle/2142/107285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[16]</w:t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t xml:space="preserve"> J. Towns, T. Cockerill, M. Dah</w:t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hyperlink r:id="rId42" w:history="1">
          <w:r>
            <w:rPr>
              <w:rStyle w:val="Hyperlink"/>
            </w:rPr>
            <w:t xml:space="preserve">an, I. Foster, K. Gaither, A. Grimshaw, V. Hazlewood, </w:t>
          </w:r>
        </w:hyperlink>
      </w:r>
      <w:r>
        <w:tab/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t>S. Lathrop, D. Lifka, G. D. Peterson, R. Roskies, J. Scott, and N. Wilkins-Diehr. 2014.</w:t>
      </w:r>
    </w:p>
    <w:p>
      <w:pPr>
        <w:autoSpaceDN w:val="0"/>
        <w:tabs>
          <w:tab w:pos="368" w:val="left"/>
          <w:tab w:pos="372" w:val="left"/>
        </w:tabs>
        <w:autoSpaceDE w:val="0"/>
        <w:widowControl/>
        <w:spacing w:line="158" w:lineRule="exact" w:before="42" w:after="0"/>
        <w:ind w:left="64" w:right="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XSEDE: Accelerating Scientific Discovery.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hyperlink r:id="rId43" w:history="1">
          <w:r>
            <w:rPr>
              <w:rStyle w:val="Hyperlink"/>
            </w:rPr>
            <w:t xml:space="preserve"> Computing in Scienc</w:t>
          </w:r>
        </w:hyperlink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e &amp; Engineering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16, 05 (sep 2014), 62–74.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3" w:history="1">
          <w:r>
            <w:rPr>
              <w:rStyle w:val="Hyperlink"/>
            </w:rPr>
            <w:t xml:space="preserve">https://doi.org/10.1109/MCSE.2014.80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[17]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Sam Weekly, Zoey Merte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3" w:history="1">
          <w:r>
            <w:rPr>
              <w:rStyle w:val="Hyperlink"/>
            </w:rPr>
            <w:t>s, and Alex Younts. 2021. Rapid Protot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ype for Shifting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HPC to the Cloud.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 20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hyperlink r:id="rId44" w:history="1">
          <w:r>
            <w:rPr>
              <w:rStyle w:val="Hyperlink"/>
            </w:rPr>
            <w:t>21 IEEE 17th International Conference on eScience (eSc</w:t>
          </w:r>
        </w:hyperlink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 xml:space="preserve">ience)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(sep 2021), 262–263.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4" w:history="1">
          <w:r>
            <w:rPr>
              <w:rStyle w:val="Hyperlink"/>
            </w:rPr>
            <w:t xml:space="preserve">https://doi.org/10.1109/ESCIENCE51609.2021.00051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[18]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Sage A Weil, Scott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4" w:history="1">
          <w:r>
            <w:rPr>
              <w:rStyle w:val="Hyperlink"/>
            </w:rPr>
            <w:t xml:space="preserve">A Brandt, Ethan L Miller, Darrell D E Long, and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Carlos </w:t>
      </w:r>
      <w:r>
        <w:tab/>
      </w:r>
      <w:r>
        <w:rPr>
          <w:w w:val="98.77527100699288"/>
          <w:rFonts w:ascii="LinLibertineT" w:hAnsi="LinLibertineT" w:eastAsia="LinLibertineT"/>
          <w:b w:val="0"/>
          <w:i w:val="0"/>
          <w:color w:val="000000"/>
          <w:sz w:val="14"/>
        </w:rPr>
        <w:t>Maltzahn. 2006. Ceph: A Scalable, High-Performance Distributed File System. In</w:t>
      </w:r>
    </w:p>
    <w:p>
      <w:pPr>
        <w:autoSpaceDN w:val="0"/>
        <w:autoSpaceDE w:val="0"/>
        <w:widowControl/>
        <w:spacing w:line="158" w:lineRule="exact" w:before="10" w:after="0"/>
        <w:ind w:left="364" w:right="0" w:firstLine="8"/>
        <w:jc w:val="left"/>
      </w:pPr>
      <w:r>
        <w:rPr>
          <w:w w:val="98.62442697797503"/>
          <w:rFonts w:ascii="LinLibertineTI" w:hAnsi="LinLibertineTI" w:eastAsia="LinLibertineTI"/>
          <w:b w:val="0"/>
          <w:i/>
          <w:color w:val="000000"/>
          <w:sz w:val="14"/>
        </w:rPr>
        <w:t xml:space="preserve">Proceedings of the 7th Symposium on Operating Systems Design and Implementation </w:t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t>(OSDI ’06)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. USENIX Association, USA, 307–320.</w:t>
      </w:r>
    </w:p>
    <w:p>
      <w:pPr>
        <w:autoSpaceDN w:val="0"/>
        <w:tabs>
          <w:tab w:pos="372" w:val="left"/>
          <w:tab w:pos="612" w:val="left"/>
          <w:tab w:pos="936" w:val="left"/>
          <w:tab w:pos="962" w:val="left"/>
          <w:tab w:pos="1122" w:val="left"/>
          <w:tab w:pos="1398" w:val="left"/>
          <w:tab w:pos="1458" w:val="left"/>
          <w:tab w:pos="1476" w:val="left"/>
          <w:tab w:pos="1704" w:val="left"/>
          <w:tab w:pos="1788" w:val="left"/>
          <w:tab w:pos="1854" w:val="left"/>
          <w:tab w:pos="2504" w:val="left"/>
          <w:tab w:pos="2614" w:val="left"/>
          <w:tab w:pos="2638" w:val="left"/>
          <w:tab w:pos="2688" w:val="left"/>
          <w:tab w:pos="3198" w:val="left"/>
          <w:tab w:pos="3734" w:val="left"/>
          <w:tab w:pos="3840" w:val="left"/>
          <w:tab w:pos="4698" w:val="left"/>
          <w:tab w:pos="4720" w:val="left"/>
        </w:tabs>
        <w:autoSpaceDE w:val="0"/>
        <w:widowControl/>
        <w:spacing w:line="160" w:lineRule="exact" w:before="32" w:after="0"/>
        <w:ind w:left="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[19]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Richard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Wilton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Alexander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Szalay.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2022.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Performance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op-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timization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in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DNA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short-read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alignment. </w:t>
      </w:r>
      <w:r>
        <w:tab/>
      </w:r>
      <w:r>
        <w:rPr>
          <w:rFonts w:ascii="LinLibertineTI" w:hAnsi="LinLibertineTI" w:eastAsia="LinLibertineTI"/>
          <w:b w:val="0"/>
          <w:i/>
          <w:color w:val="000000"/>
          <w:sz w:val="14"/>
        </w:rPr>
        <w:hyperlink r:id="rId45" w:history="1">
          <w:r>
            <w:rPr>
              <w:rStyle w:val="Hyperlink"/>
            </w:rPr>
            <w:t xml:space="preserve">Bioinformatics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38,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8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(02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2022),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2081–2087.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5" w:history="1">
          <w:r>
            <w:rPr>
              <w:rStyle w:val="Hyperlink"/>
            </w:rPr>
            <w:t xml:space="preserve">https://doi.org/10.1093/bioinformatics/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arXiv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6" w:history="1">
          <w:r>
            <w:rPr>
              <w:rStyle w:val="Hyperlink"/>
            </w:rPr>
            <w:t>:https://ac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5" w:history="1">
          <w:r>
            <w:rPr>
              <w:rStyle w:val="Hyperlink"/>
            </w:rPr>
            <w:t>ademic.oup.com/bioinformatics/article-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5" w:history="1">
          <w:r>
            <w:rPr>
              <w:rStyle w:val="Hyperlink"/>
            </w:rPr>
            <w:t xml:space="preserve">btac066 </w:t>
          </w:r>
        </w:hyperlink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5" w:history="1">
          <w:r>
            <w:rPr>
              <w:rStyle w:val="Hyperlink"/>
            </w:rPr>
            <w:t>pdf/38/8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6" w:history="1">
          <w:r>
            <w:rPr>
              <w:rStyle w:val="Hyperlink"/>
            </w:rPr>
            <w:t>/2081/43369967/btac0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6" w:history="1">
          <w:r>
            <w:rPr>
              <w:rStyle w:val="Hyperlink"/>
            </w:rPr>
            <w:t xml:space="preserve">66.pdf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[20]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6" w:history="1">
          <w:r>
            <w:rPr>
              <w:rStyle w:val="Hyperlink"/>
            </w:rPr>
            <w:t xml:space="preserve">Tsai-Wei Wu, Stephen Lien Harrell,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Geoffrey Lentner, Alex Younts, Sam Weekly,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Zoey Mertes, Amiya Maji, Preston Smith, and Xiao Zhu. 2021. Defining Per-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formance of Scientific Application Workloads on the AMD Milan Platform. In </w:t>
      </w:r>
      <w:r>
        <w:tab/>
      </w:r>
      <w:r>
        <w:rPr>
          <w:w w:val="98.62442697797503"/>
          <w:rFonts w:ascii="LinLibertineTI" w:hAnsi="LinLibertineTI" w:eastAsia="LinLibertineTI"/>
          <w:b w:val="0"/>
          <w:i/>
          <w:color w:val="000000"/>
          <w:sz w:val="14"/>
        </w:rPr>
        <w:t>Practice and Experience in Advanced Research Computing (PEARC ’21)</w:t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t xml:space="preserve">. Association </w:t>
      </w:r>
      <w:r>
        <w:tab/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t xml:space="preserve">for Computing Machinery, New York, NY, USA. </w:t>
      </w:r>
      <w:r>
        <w:rPr>
          <w:w w:val="98.62442697797503"/>
          <w:rFonts w:ascii="LinLibertineT" w:hAnsi="LinLibertineT" w:eastAsia="LinLibertineT"/>
          <w:b w:val="0"/>
          <w:i w:val="0"/>
          <w:color w:val="000000"/>
          <w:sz w:val="14"/>
        </w:rPr>
        <w:hyperlink r:id="rId47" w:history="1">
          <w:r>
            <w:rPr>
              <w:rStyle w:val="Hyperlink"/>
            </w:rPr>
            <w:t>https://doi.org/10.1145/3437359.</w:t>
          </w:r>
        </w:hyperlink>
      </w:r>
    </w:p>
    <w:p>
      <w:pPr>
        <w:autoSpaceDN w:val="0"/>
        <w:autoSpaceDE w:val="0"/>
        <w:widowControl/>
        <w:spacing w:line="192" w:lineRule="exact" w:before="0" w:after="0"/>
        <w:ind w:left="37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hyperlink r:id="rId47" w:history="1">
          <w:r>
            <w:rPr>
              <w:rStyle w:val="Hyperlink"/>
            </w:rPr>
            <w:t>3465596</w:t>
          </w:r>
        </w:hyperlink>
      </w:r>
    </w:p>
    <w:sectPr w:rsidR="00FC693F" w:rsidRPr="0006063C" w:rsidSect="00034616">
      <w:type w:val="nextColumn"/>
      <w:pgSz w:w="12240" w:h="15840"/>
      <w:pgMar w:top="612" w:right="1032" w:bottom="1440" w:left="1072" w:header="720" w:footer="720" w:gutter="0"/>
      <w:cols w:space="720" w:num="2" w:equalWidth="0">
        <w:col w:w="5224" w:space="0"/>
        <w:col w:w="4911" w:space="0"/>
        <w:col w:w="5062" w:space="0"/>
        <w:col w:w="5083" w:space="0"/>
        <w:col w:w="10146" w:space="0"/>
        <w:col w:w="5060" w:space="0"/>
        <w:col w:w="5082" w:space="0"/>
        <w:col w:w="10142" w:space="0"/>
        <w:col w:w="5056" w:space="0"/>
        <w:col w:w="5082" w:space="0"/>
        <w:col w:w="10138" w:space="0"/>
        <w:col w:w="5226" w:space="0"/>
        <w:col w:w="4926" w:space="0"/>
        <w:col w:w="5062" w:space="0"/>
        <w:col w:w="5082" w:space="0"/>
        <w:col w:w="10144" w:space="0"/>
        <w:col w:w="5062" w:space="0"/>
        <w:col w:w="5082" w:space="0"/>
        <w:col w:w="10144" w:space="0"/>
        <w:col w:w="6292" w:space="0"/>
        <w:col w:w="3852" w:space="0"/>
        <w:col w:w="5062" w:space="0"/>
        <w:col w:w="5082" w:space="0"/>
        <w:col w:w="10144" w:space="0"/>
        <w:col w:w="5060" w:space="0"/>
        <w:col w:w="5088" w:space="0"/>
        <w:col w:w="1014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creativecommons.org/licenses/by/4.0/" TargetMode="External"/><Relationship Id="rId11" Type="http://schemas.openxmlformats.org/officeDocument/2006/relationships/hyperlink" Target="https://doi.org/10.1145/3491418.3530766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hyperlink" Target="https://doi.org/10.1145/3093338.3104175" TargetMode="External"/><Relationship Id="rId30" Type="http://schemas.openxmlformats.org/officeDocument/2006/relationships/hyperlink" Target="https://doi.org/10.1145/2898442.2898444" TargetMode="External"/><Relationship Id="rId31" Type="http://schemas.openxmlformats.org/officeDocument/2006/relationships/hyperlink" Target="https://www.cendio.com/thinlinc/what-is-thinlinc" TargetMode="External"/><Relationship Id="rId32" Type="http://schemas.openxmlformats.org/officeDocument/2006/relationships/hyperlink" Target="https://www.rcac.purdue.edu/compute/workbench" TargetMode="External"/><Relationship Id="rId33" Type="http://schemas.openxmlformats.org/officeDocument/2006/relationships/hyperlink" Target="https://doi.org/10.1093/bioinformatics/btx192" TargetMode="External"/><Relationship Id="rId34" Type="http://schemas.openxmlformats.org/officeDocument/2006/relationships/hyperlink" Target="https://arxiv.org/abs/https://academic.oup.com/bioinformatics/article-pdf/33/16/2580/25163480/btx192.pdf" TargetMode="External"/><Relationship Id="rId35" Type="http://schemas.openxmlformats.org/officeDocument/2006/relationships/hyperlink" Target="https://doi.org/10.1145/2807591.2807623" TargetMode="External"/><Relationship Id="rId36" Type="http://schemas.openxmlformats.org/officeDocument/2006/relationships/hyperlink" Target="https://www.rcac.purdue.edu/training/anvilcomposable" TargetMode="External"/><Relationship Id="rId37" Type="http://schemas.openxmlformats.org/officeDocument/2006/relationships/hyperlink" Target="https://doi.org/10.5281/ZENODO.5796289" TargetMode="External"/><Relationship Id="rId38" Type="http://schemas.openxmlformats.org/officeDocument/2006/relationships/hyperlink" Target="https://doi.org/10.1145/3219104.3219138" TargetMode="External"/><Relationship Id="rId39" Type="http://schemas.openxmlformats.org/officeDocument/2006/relationships/hyperlink" Target="https://doi.org/10.21105/joss.00622" TargetMode="External"/><Relationship Id="rId40" Type="http://schemas.openxmlformats.org/officeDocument/2006/relationships/hyperlink" Target="https://docs.nvidia.com/ngc/ngc-overview/index.html" TargetMode="External"/><Relationship Id="rId41" Type="http://schemas.openxmlformats.org/officeDocument/2006/relationships/hyperlink" Target="https://rancher.com/" TargetMode="External"/><Relationship Id="rId42" Type="http://schemas.openxmlformats.org/officeDocument/2006/relationships/hyperlink" Target="https://www.ideals.illinois.edu/handle/2142/107285" TargetMode="External"/><Relationship Id="rId43" Type="http://schemas.openxmlformats.org/officeDocument/2006/relationships/hyperlink" Target="https://doi.org/10.1109/MCSE.2014.80" TargetMode="External"/><Relationship Id="rId44" Type="http://schemas.openxmlformats.org/officeDocument/2006/relationships/hyperlink" Target="https://doi.org/10.1109/ESCIENCE51609.2021.00051" TargetMode="External"/><Relationship Id="rId45" Type="http://schemas.openxmlformats.org/officeDocument/2006/relationships/hyperlink" Target="https://doi.org/10.1093/bioinformatics/btac066" TargetMode="External"/><Relationship Id="rId46" Type="http://schemas.openxmlformats.org/officeDocument/2006/relationships/hyperlink" Target="https://arxiv.org/abs/https://academic.oup.com/bioinformatics/article-pdf/38/8/2081/43369967/btac066.pdf" TargetMode="External"/><Relationship Id="rId47" Type="http://schemas.openxmlformats.org/officeDocument/2006/relationships/hyperlink" Target="https://doi.org/10.1145/3437359.346559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