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398" w:lineRule="exact" w:before="46" w:after="58"/>
        <w:ind w:left="576" w:right="576" w:firstLine="0"/>
        <w:jc w:val="center"/>
      </w:pPr>
      <w:r>
        <w:rPr>
          <w:w w:val="101.26706291647518"/>
          <w:rFonts w:ascii="LinBiolinumTB" w:hAnsi="LinBiolinumTB" w:eastAsia="LinBiolinumTB"/>
          <w:b/>
          <w:i w:val="0"/>
          <w:color w:val="000000"/>
          <w:sz w:val="34"/>
        </w:rPr>
        <w:t xml:space="preserve">Integrating End-to-End Exascale SDN into the LHC Data </w:t>
      </w:r>
      <w:r>
        <w:rPr>
          <w:w w:val="101.26706291647518"/>
          <w:rFonts w:ascii="LinBiolinumTB" w:hAnsi="LinBiolinumTB" w:eastAsia="LinBiolinumTB"/>
          <w:b/>
          <w:i w:val="0"/>
          <w:color w:val="000000"/>
          <w:sz w:val="34"/>
        </w:rPr>
        <w:t>Distribution Cyberinfrastructure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3383"/>
        <w:gridCol w:w="3383"/>
        <w:gridCol w:w="3383"/>
      </w:tblGrid>
      <w:tr>
        <w:trPr>
          <w:trHeight w:hRule="exact" w:val="476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4" w:after="0"/>
              <w:ind w:left="720" w:right="432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Jonathan Guiang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9" w:history="1">
                <w:r>
                  <w:rPr>
                    <w:rStyle w:val="Hyperlink"/>
                  </w:rPr>
                  <w:t xml:space="preserve">Aashay Arora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Diego Davila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John Graham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Dima Mishin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T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homas Hutto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Igor Sfilig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t xml:space="preserve">i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Fra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nk Würthw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ein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hyperlink r:id="rId14" w:history="1">
                <w:r>
                  <w:rPr>
                    <w:rStyle w:val="Hyperlink"/>
                  </w:rPr>
                  <w:t xml:space="preserve">jguiang@ucsd.edu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aaarora@ucsd.edu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didavila@ucsd.edu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jjgraham@ucsd.edu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dmishin@ucsd.edu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hutton@sdsc.edu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isfiligoi@sdsc.edu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fkw@ucsd.edu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UC San Diego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La Jolla, California, USA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0" w:after="0"/>
              <w:ind w:left="576" w:right="576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Tom Lehman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Xi Yang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hin Guo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k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tl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hyperlink r:id="rId16" w:history="1">
                <w:r>
                  <w:rPr>
                    <w:rStyle w:val="Hyperlink"/>
                  </w:rPr>
                  <w:t>ehman@es.ne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t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xiyang@es.net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chin@es.net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Lawrence Berkeley National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Laboratory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Berkeley, California, USA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4" w:after="0"/>
              <w:ind w:left="288" w:right="288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Harvey Newman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Justas Balcas </w:t>
                </w:r>
              </w:hyperlink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new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>man@hep.caltec</w:t>
                </w:r>
              </w:hyperlink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h.edu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jbalcas@caltech.edu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 xml:space="preserve">Caltech </w:t>
            </w:r>
            <w:r>
              <w:br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20"/>
              </w:rPr>
              <w:t>Pasadena, California, USA</w:t>
            </w:r>
          </w:p>
        </w:tc>
      </w:tr>
      <w:tr>
        <w:trPr>
          <w:trHeight w:hRule="exact" w:val="348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6" w:after="0"/>
              <w:ind w:left="1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ABSTRACT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6" w:after="0"/>
              <w:ind w:left="0" w:right="364" w:firstLine="0"/>
              <w:jc w:val="righ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KEYWORDS</w:t>
            </w:r>
          </w:p>
        </w:tc>
        <w:tc>
          <w:tcPr>
            <w:tcW w:type="dxa" w:w="33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2240" w:h="15840"/>
          <w:pgMar w:top="780" w:right="1026" w:bottom="822" w:left="1066" w:header="720" w:footer="720" w:gutter="0"/>
          <w:cols w:space="720" w:num="1" w:equalWidth="0"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6" w:after="0"/>
        <w:ind w:left="10" w:right="144" w:hanging="6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Compact Muon Solenoid (CMS) experiment at the CERN Large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Hadron Collider (LHC) distributes its data by leveraging a diverse ar-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ray of National Research and Education Networks (NRENs), which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CMS is forced to treat as an opaque resource. Consequently, CMS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sees highly variable performance that already poses a challenge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 operators coordinating the movement of petabytes around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globe. This kind of unpredictability, however, threatens CMS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logistical nightmare as it barrels towards the High Luminosity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LHC (HL-LHC) era in 2030, which is expected to produce roughly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0.5 exabytes of data per year. This paper explores one potential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solution to this issue: software-defined networking (SDN). In par-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ticular, the prototypical interoperation of SENSE, an SDN product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developed by the Energy Sciences Network, with Rucio, the data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management software used by the LHC, is outlined. In addition, this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paper presents the current progress in bringing these technologies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together.</w:t>
      </w:r>
    </w:p>
    <w:p>
      <w:pPr>
        <w:autoSpaceDN w:val="0"/>
        <w:autoSpaceDE w:val="0"/>
        <w:widowControl/>
        <w:spacing w:line="292" w:lineRule="exact" w:before="162" w:after="2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CCS CONCEPTS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0148"/>
      </w:tblGrid>
      <w:tr>
        <w:trPr>
          <w:trHeight w:hRule="exact" w:val="1048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8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>work services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Network performance evaluation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•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Informa-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•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Networks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→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Network management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98.62537384033203"/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Network algorithms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Net-</w:t>
            </w:r>
          </w:p>
          <w:p>
            <w:pPr>
              <w:autoSpaceDN w:val="0"/>
              <w:autoSpaceDE w:val="0"/>
              <w:widowControl/>
              <w:spacing w:line="370" w:lineRule="exact" w:before="0" w:after="0"/>
              <w:ind w:left="1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>tion systems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→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Data management systems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•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Applied com-</w:t>
            </w:r>
          </w:p>
          <w:p>
            <w:pPr>
              <w:autoSpaceDN w:val="0"/>
              <w:autoSpaceDE w:val="0"/>
              <w:widowControl/>
              <w:spacing w:line="372" w:lineRule="exact" w:before="0" w:after="0"/>
              <w:ind w:left="1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>puting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→</w:t>
            </w:r>
            <w:r>
              <w:rPr>
                <w:rFonts w:ascii="LinLibertineTI" w:hAnsi="LinLibertineTI" w:eastAsia="LinLibertineTI"/>
                <w:b w:val="0"/>
                <w:i/>
                <w:color w:val="000000"/>
                <w:sz w:val="18"/>
              </w:rPr>
              <w:t xml:space="preserve"> Operations research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2460" cy="22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2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0" w:lineRule="exact" w:before="34" w:after="0"/>
        <w:ind w:left="6" w:right="72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This work is licensed under a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1" w:history="1">
          <w:r>
            <w:rPr>
              <w:rStyle w:val="Hyperlink"/>
            </w:rPr>
            <w:t xml:space="preserve"> Creative Commons Attribution International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1" w:history="1">
          <w:r>
            <w:rPr>
              <w:rStyle w:val="Hyperlink"/>
            </w:rPr>
            <w:t>4.0 License.</w:t>
          </w:r>
        </w:hyperlink>
      </w:r>
    </w:p>
    <w:p>
      <w:pPr>
        <w:autoSpaceDN w:val="0"/>
        <w:autoSpaceDE w:val="0"/>
        <w:widowControl/>
        <w:spacing w:line="164" w:lineRule="exact" w:before="178" w:after="0"/>
        <w:ind w:left="0" w:right="2304" w:firstLine="1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PEARC ’22, July 10–14, 2022, Boston, MA, USA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© 2022 Copyright held by the owner/author(s).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ACM ISBN 978-1-4503-9161-0/22/07.</w:t>
      </w:r>
    </w:p>
    <w:p>
      <w:pPr>
        <w:autoSpaceDN w:val="0"/>
        <w:autoSpaceDE w:val="0"/>
        <w:widowControl/>
        <w:spacing w:line="192" w:lineRule="exact" w:before="0" w:after="0"/>
        <w:ind w:left="1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2" w:history="1">
          <w:r>
            <w:rPr>
              <w:rStyle w:val="Hyperlink"/>
            </w:rPr>
            <w:t>https://doi.org/10.1145/3491418.3535134</w:t>
          </w:r>
        </w:hyperlink>
      </w:r>
    </w:p>
    <w:p>
      <w:pPr>
        <w:sectPr>
          <w:type w:val="continuous"/>
          <w:pgSz w:w="12240" w:h="15840"/>
          <w:pgMar w:top="780" w:right="1026" w:bottom="822" w:left="1066" w:header="720" w:footer="720" w:gutter="0"/>
          <w:cols w:space="720" w:num="2" w:equalWidth="0"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232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exascale, data distribution, software defined networking</w:t>
      </w:r>
    </w:p>
    <w:p>
      <w:pPr>
        <w:autoSpaceDN w:val="0"/>
        <w:autoSpaceDE w:val="0"/>
        <w:widowControl/>
        <w:spacing w:line="198" w:lineRule="exact" w:before="188" w:after="0"/>
        <w:ind w:left="228" w:right="0" w:hanging="2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6"/>
        </w:rPr>
        <w:t xml:space="preserve">ACM Reference Format: </w:t>
      </w:r>
      <w:r>
        <w:br/>
      </w:r>
      <w:r>
        <w:rPr>
          <w:w w:val="98.72553944587708"/>
          <w:rFonts w:ascii="LinLibertineT" w:hAnsi="LinLibertineT" w:eastAsia="LinLibertineT"/>
          <w:b w:val="0"/>
          <w:i w:val="0"/>
          <w:color w:val="000000"/>
          <w:sz w:val="16"/>
        </w:rPr>
        <w:t xml:space="preserve">Jonathan Guiang, Aashay Arora, Diego Davila, John Graham, Dima Mishin,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Thomas Hutton, Igor Sfiligoi, Frank Würthwein, Tom Lehman, Xi Yang,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Chin Guok, Harvey Newman, and Justas Balcas. 2022. Integrating End-to-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End Exascale SDN into the LHC Data Distribution Cyberinfrastructure.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>In</w:t>
      </w:r>
      <w:r>
        <w:rPr>
          <w:rFonts w:ascii="LinLibertineTI" w:hAnsi="LinLibertineTI" w:eastAsia="LinLibertineTI"/>
          <w:b w:val="0"/>
          <w:i/>
          <w:color w:val="000000"/>
          <w:sz w:val="16"/>
        </w:rPr>
        <w:t xml:space="preserve"> Practice and Experience in Advanced Research Computing (PEARC ’22), </w:t>
      </w:r>
      <w:r>
        <w:rPr>
          <w:rFonts w:ascii="LinLibertineTI" w:hAnsi="LinLibertineTI" w:eastAsia="LinLibertineTI"/>
          <w:b w:val="0"/>
          <w:i/>
          <w:color w:val="000000"/>
          <w:sz w:val="16"/>
        </w:rPr>
        <w:t>July 10–14, 2022, Boston, MA, USA.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ACM, New York, NY, USA, 4 pages.</w:t>
      </w:r>
    </w:p>
    <w:p>
      <w:pPr>
        <w:autoSpaceDN w:val="0"/>
        <w:autoSpaceDE w:val="0"/>
        <w:widowControl/>
        <w:spacing w:line="220" w:lineRule="exact" w:before="0" w:after="0"/>
        <w:ind w:left="232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6"/>
        </w:rPr>
        <w:hyperlink r:id="rId22" w:history="1">
          <w:r>
            <w:rPr>
              <w:rStyle w:val="Hyperlink"/>
            </w:rPr>
            <w:t>https://doi.org/10.1145/3491418.3535134</w:t>
          </w:r>
        </w:hyperlink>
      </w:r>
    </w:p>
    <w:p>
      <w:pPr>
        <w:autoSpaceDN w:val="0"/>
        <w:tabs>
          <w:tab w:pos="562" w:val="left"/>
        </w:tabs>
        <w:autoSpaceDE w:val="0"/>
        <w:widowControl/>
        <w:spacing w:line="294" w:lineRule="exact" w:before="358" w:after="0"/>
        <w:ind w:left="232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INTRODUCTION</w:t>
      </w:r>
    </w:p>
    <w:p>
      <w:pPr>
        <w:autoSpaceDN w:val="0"/>
        <w:autoSpaceDE w:val="0"/>
        <w:widowControl/>
        <w:spacing w:line="260" w:lineRule="exact" w:before="0" w:after="0"/>
        <w:ind w:left="224" w:right="30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Like much of the scientific community, the LHC at CERN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barrelling towards an exascale era. Projections (Fig. 1) indicate that,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after the High Luminosity upgrade, the CMS experiment alone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will produce roughly 0.5 exabytes of data per year. This data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 organized, as it is now, into datasets consisting of hundreds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millions of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O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(GB) files. Moreover, it is generally accessed by two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different parties:</w:t>
      </w:r>
    </w:p>
    <w:p>
      <w:pPr>
        <w:autoSpaceDN w:val="0"/>
        <w:tabs>
          <w:tab w:pos="712" w:val="left"/>
          <w:tab w:pos="720" w:val="left"/>
        </w:tabs>
        <w:autoSpaceDE w:val="0"/>
        <w:widowControl/>
        <w:spacing w:line="324" w:lineRule="exact" w:before="110" w:after="0"/>
        <w:ind w:left="550" w:right="0" w:firstLine="0"/>
        <w:jc w:val="left"/>
      </w:pP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Users: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thousands of physicists and students around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world need to retrieve and process CMS data, driving mil-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lions of small data transfers</w:t>
      </w:r>
      <w:r>
        <w:br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Production: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CMS produces real and simulated detector data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distributes it around the world, driving hundreds of large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data transfers</w:t>
      </w:r>
    </w:p>
    <w:p>
      <w:pPr>
        <w:autoSpaceDN w:val="0"/>
        <w:autoSpaceDE w:val="0"/>
        <w:widowControl/>
        <w:spacing w:line="220" w:lineRule="exact" w:before="90" w:after="0"/>
        <w:ind w:left="232" w:right="20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Crucially, this implies that CMS data movement is entirely domi-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nated by the production data transfers, which are centrally man-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aged. Furthermore, given the global nature of both user and pro-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>duction data transfers, National Research and Education Networks</w:t>
      </w:r>
    </w:p>
    <w:p>
      <w:pPr>
        <w:sectPr>
          <w:type w:val="nextColumn"/>
          <w:pgSz w:w="12240" w:h="15840"/>
          <w:pgMar w:top="780" w:right="1026" w:bottom="822" w:left="1066" w:header="720" w:footer="720" w:gutter="0"/>
          <w:cols w:space="720" w:num="2" w:equalWidth="0"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tabs>
          <w:tab w:pos="8732" w:val="left"/>
        </w:tabs>
        <w:autoSpaceDE w:val="0"/>
        <w:widowControl/>
        <w:spacing w:line="162" w:lineRule="exact" w:before="0" w:after="0"/>
        <w:ind w:left="2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 xml:space="preserve">PEARC ’22, July 10–14, 2022, Boston, MA, USA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4"/>
        </w:rPr>
        <w:t>Guiang and Arora, et al.</w:t>
      </w:r>
    </w:p>
    <w:p>
      <w:pPr>
        <w:autoSpaceDN w:val="0"/>
        <w:autoSpaceDE w:val="0"/>
        <w:widowControl/>
        <w:spacing w:line="240" w:lineRule="auto" w:before="2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036059" cy="2131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6059" cy="213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12" w:after="0"/>
        <w:ind w:left="0" w:right="0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Figure 1: CMS tape usage estimates from 2021 made for the CMS contribution to the LHC Committee (LHCC) November review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of HL-LHC computing and common software [5]. Two scenarios are considered: a baseline (solid blue) that does not include</w:t>
      </w:r>
    </w:p>
    <w:p>
      <w:pPr>
        <w:autoSpaceDN w:val="0"/>
        <w:autoSpaceDE w:val="0"/>
        <w:widowControl/>
        <w:spacing w:line="240" w:lineRule="exact" w:before="0" w:after="304"/>
        <w:ind w:left="2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any improvement and the most probable outcome (dashed blue) of the ongoing R&amp;D activities.</w:t>
      </w:r>
    </w:p>
    <w:p>
      <w:pPr>
        <w:sectPr>
          <w:pgSz w:w="12240" w:h="15840"/>
          <w:pgMar w:top="612" w:right="1026" w:bottom="822" w:left="1056" w:header="720" w:footer="720" w:gutter="0"/>
          <w:cols w:space="720" w:num="1" w:equalWidth="0"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6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(NRENs) become critical cyberinfrastructure for CMS data distri-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bution. However, every NREN is opaque to CMS, as they are to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every other domain science they serve, resulting in highly variable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performance–unpredictably oscillating between excellent and poor.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This kind of variable network performance already poses a chal-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lenge for operators coordinating petascale production transfers,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but a looming exascale era–meaning more and possibly larger pro-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duction transfers–makes a solution all the more imperative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If CMS were able to instead guarantee a large fraction of available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bandwidth for high-priority production transfers, they could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achieved on a predictable timescale. Meanwhile, users could share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just a small portion of the remaining bandwidth without much per-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formance loss. This exactly could be achieved by software-defined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networking. Moreover, CMS is currently unable to easily distin-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guish site issues from network issues, so when data movement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slowed, the underlying problem cannot be quickly addressed.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If, however, CMS had an account of what was promised from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network, that account could be compared to the site diagnostics it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already maintains in order to immediately identify the culprit. In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other words, SDN bandwidth allocations can be thought of as exact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“promises” made by the network that it is then held accountable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 maintaining. Therefore, a realized SDN product would provide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predictable and accountable network services, both of which CMS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currently lacks and could greatly benefit from in the HL-LHC era.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presents the prototypical interoperation of such an SDN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product, SENSE, with the data-movement management system,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Rucio, used by CMS.</w:t>
      </w:r>
    </w:p>
    <w:p>
      <w:pPr>
        <w:autoSpaceDN w:val="0"/>
        <w:autoSpaceDE w:val="0"/>
        <w:widowControl/>
        <w:spacing w:line="220" w:lineRule="exact" w:before="28" w:after="0"/>
        <w:ind w:left="20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CMS is one of two general-purpose physics experiments at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LHC, the other being ATLAS. Notably, ATLAS also projects exascale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HL-LHC data production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,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yet this paper is written entirely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the context of CMS. The work is nevertheless relevant to both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collaborations, since ATLAS also uses Rucio–albeit a separate in-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stance from the one used by CMS. The data-movement workflow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and cyberinfrastructure employed by ATLAS is also fundamentally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similar to that used by CMS, and thus it faces many of the same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challenges that this work aims to address.</w:t>
      </w:r>
    </w:p>
    <w:p>
      <w:pPr>
        <w:sectPr>
          <w:type w:val="continuous"/>
          <w:pgSz w:w="12240" w:h="15840"/>
          <w:pgMar w:top="612" w:right="1026" w:bottom="822" w:left="1056" w:header="720" w:footer="720" w:gutter="0"/>
          <w:cols w:space="720" w:num="2" w:equalWidth="0"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Rucio: Scientific Data Management</w:t>
      </w:r>
    </w:p>
    <w:p>
      <w:pPr>
        <w:autoSpaceDN w:val="0"/>
        <w:autoSpaceDE w:val="0"/>
        <w:widowControl/>
        <w:spacing w:line="220" w:lineRule="exact" w:before="30" w:after="230"/>
        <w:ind w:left="228" w:right="46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Rucio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an open-source software framework that is currently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used to manage all of the data produced by CMS and ATLAS, which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primarily involves orchestrating production data transfers. This is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done by defining “rules,” where each rule represents the replication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one or more datasets from one site to another. They are each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assigned a priority, then put on a stack–sorted by that priority–to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be transferred by FTS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]. Importantly, Rucio can be configured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allow these priorities to be changed mid-transfer.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55" w:type="dxa"/>
      </w:tblPr>
      <w:tblGrid>
        <w:gridCol w:w="5079"/>
        <w:gridCol w:w="5079"/>
      </w:tblGrid>
      <w:tr>
        <w:trPr>
          <w:trHeight w:hRule="exact" w:val="6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1.2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6" w:after="0"/>
              <w:ind w:left="114" w:right="144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 xml:space="preserve">SENSE: SDN for End-to-End Networked 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Science at the Exascale</w:t>
            </w:r>
          </w:p>
        </w:tc>
      </w:tr>
    </w:tbl>
    <w:p>
      <w:pPr>
        <w:autoSpaceDN w:val="0"/>
        <w:autoSpaceDE w:val="0"/>
        <w:widowControl/>
        <w:spacing w:line="220" w:lineRule="exact" w:before="30" w:after="0"/>
        <w:ind w:left="228" w:right="30" w:hanging="6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Energy Sciences Network (ESNet), the NREN leveraged by CMS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ATLAS in the United States, is developing an SDN product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called SENSE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with the titular aim of providing end-to-end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SDN for exascale scientific data movement. In particular, SENSE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builds on existing SDN work by providing enhanced interactivity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through an intent-based interface. This allows for management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network at the same level as how instruments, compute,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storage are managed. Specifically, it lets users intuitively customize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Layer 2 and Layer 3 services to build guaranteed-bandwidth “links”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between two sites.</w:t>
      </w:r>
    </w:p>
    <w:p>
      <w:pPr>
        <w:autoSpaceDN w:val="0"/>
        <w:autoSpaceDE w:val="0"/>
        <w:widowControl/>
        <w:spacing w:line="220" w:lineRule="exact" w:before="26" w:after="0"/>
        <w:ind w:left="220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site configuration (Fig. 2) that enables the construction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SENSE links is a critical contribution of this work, so the basic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operating principle is described here in more detail. Every site must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provide multiple gobally routable IPv6 subnets to serve as potential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SENSE link endpoints. Each of these IPv6 subnets is associated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with a “redirector” that can direct traffic to one of the data servers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connected to it, where each server has equal access to the site’s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filesystem. The exact role and performance of these components is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defined by the XRootD architecture, which is used by CMS and AT-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LAS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6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]. In any case, a site configured in this way can then support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multiple SENSE links between itself and another site. This therefore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enables the fundamental action of the Rucio-SENSE interoperation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prototype: establishing guaranteed network service for a given data</w:t>
      </w:r>
    </w:p>
    <w:p>
      <w:pPr>
        <w:sectPr>
          <w:type w:val="nextColumn"/>
          <w:pgSz w:w="12240" w:h="15840"/>
          <w:pgMar w:top="612" w:right="1026" w:bottom="822" w:left="1056" w:header="720" w:footer="720" w:gutter="0"/>
          <w:cols w:space="720" w:num="2" w:equalWidth="0"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tabs>
          <w:tab w:pos="7422" w:val="left"/>
        </w:tabs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 xml:space="preserve">Integrating Exascale SDN into LHC Data Distribution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4"/>
        </w:rPr>
        <w:t>PEARC ’22, July 10–14, 2022, Boston, MA, USA</w:t>
      </w:r>
    </w:p>
    <w:p>
      <w:pPr>
        <w:autoSpaceDN w:val="0"/>
        <w:autoSpaceDE w:val="0"/>
        <w:widowControl/>
        <w:spacing w:line="240" w:lineRule="auto" w:before="2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5800" cy="19164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916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2" w:after="0"/>
        <w:ind w:left="6" w:right="32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Figure 2: A generic SENSE site configuration. A “redirector” (e.g.</w:t>
      </w:r>
      <w:r>
        <w:rPr>
          <w:rFonts w:ascii="LinLibertineTBI" w:hAnsi="LinLibertineTBI" w:eastAsia="LinLibertineTBI"/>
          <w:b/>
          <w:i/>
          <w:color w:val="000000"/>
          <w:sz w:val="18"/>
        </w:rPr>
        <w:t xml:space="preserve"> Redi-1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) listens to a specific IPv6 address, from a unique IPv6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subnet, and directs incoming traffic to one of the data servers connected to it (e.g.</w:t>
      </w:r>
      <w:r>
        <w:rPr>
          <w:rFonts w:ascii="LinLibertineTBI" w:hAnsi="LinLibertineTBI" w:eastAsia="LinLibertineTBI"/>
          <w:b/>
          <w:i/>
          <w:color w:val="000000"/>
          <w:sz w:val="18"/>
        </w:rPr>
        <w:t xml:space="preserve"> Server-1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). Each data server has equal access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to the site’s filesystem.</w:t>
      </w:r>
    </w:p>
    <w:p>
      <w:pPr>
        <w:autoSpaceDN w:val="0"/>
        <w:autoSpaceDE w:val="0"/>
        <w:widowControl/>
        <w:spacing w:line="240" w:lineRule="auto" w:before="2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5800" cy="2486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86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4" w:after="304"/>
        <w:ind w:left="6" w:right="20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3: Simplified diagram of the Rucio-SENSE interoperation workflow, with numbered steps: (1) a rule is initialized; (2)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Rucio sends transfer description to DMM; (3) DMM translates Rucio request into SENSE provision; (4) DMM sends provision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request to SENSE; (5) DMM sends a source IPv6 and destination IPv6 to Rucio; (6) Rucio injects IPv6s from previous step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into the FTS request; (7) Either (a) SENSE builds dedicated service or (b) default to best effort service; (8) SENSE sends service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metadata to DMM.</w:t>
      </w:r>
    </w:p>
    <w:p>
      <w:pPr>
        <w:sectPr>
          <w:pgSz w:w="12240" w:h="15840"/>
          <w:pgMar w:top="612" w:right="1044" w:bottom="762" w:left="1070" w:header="720" w:footer="720" w:gutter="0"/>
          <w:cols w:space="720" w:num="1" w:equalWidth="0">
            <w:col w:w="10126" w:space="0"/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8" w:after="0"/>
        <w:ind w:left="6" w:right="256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transfer between two sites. In addition, this configuration scheme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defines an important, configurable constraint; that is, the maximum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number of links that SENSE can construct between any two sites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limited by whichever site has fewer configured IPv6 subnets.</w:t>
      </w:r>
    </w:p>
    <w:p>
      <w:pPr>
        <w:autoSpaceDN w:val="0"/>
        <w:tabs>
          <w:tab w:pos="336" w:val="left"/>
        </w:tabs>
        <w:autoSpaceDE w:val="0"/>
        <w:widowControl/>
        <w:spacing w:line="292" w:lineRule="exact" w:before="274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RUCIO-SENSE INTEROPERATION MODEL</w:t>
      </w:r>
    </w:p>
    <w:p>
      <w:pPr>
        <w:autoSpaceDN w:val="0"/>
        <w:autoSpaceDE w:val="0"/>
        <w:widowControl/>
        <w:spacing w:line="220" w:lineRule="exact" w:before="30" w:after="0"/>
        <w:ind w:left="0" w:right="144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central goal of this work is to produce a Rucio-SENSE inter-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operation model that enables Rucio operators to prioritize certain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transfers, then see those priorities reflected in the allocation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network resources. Moreover, this should have a minimal impact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on the current implementation and operation of Rucio. To this end,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 Data Movement Manager (DMM) is introduced to perform the</w:t>
      </w:r>
    </w:p>
    <w:p>
      <w:pPr>
        <w:sectPr>
          <w:type w:val="continuous"/>
          <w:pgSz w:w="12240" w:h="15840"/>
          <w:pgMar w:top="612" w:right="1044" w:bottom="762" w:left="1070" w:header="720" w:footer="720" w:gutter="0"/>
          <w:cols w:space="720" w:num="2" w:equalWidth="0">
            <w:col w:w="5066" w:space="0"/>
            <w:col w:w="5059" w:space="0"/>
            <w:col w:w="10126" w:space="0"/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30" w:after="0"/>
        <w:ind w:left="224" w:right="32" w:firstLine="0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crucial task of translating Rucio requests into SENSE provisions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returning the results, keeping a bulk of the functionality required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for the incorporation of SENSE capabilities separate from the Rucio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codebase. Thus, DMM serves as a keystone for the Rucio-SENSE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interoperation model explored in this initial work (Fig. 3):</w:t>
      </w:r>
    </w:p>
    <w:p>
      <w:pPr>
        <w:autoSpaceDN w:val="0"/>
        <w:tabs>
          <w:tab w:pos="712" w:val="left"/>
        </w:tabs>
        <w:autoSpaceDE w:val="0"/>
        <w:widowControl/>
        <w:spacing w:line="240" w:lineRule="exact" w:before="138" w:after="0"/>
        <w:ind w:left="442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(1)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 A Rucio operator initializes a rule with some priority which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requests one or more dataset transfers, where each transfer </w:t>
      </w:r>
      <w:r>
        <w:tab/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may involve a different pair (source and destination) of sites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(2) Rucio sends the following data to DMM for each transfer:</w:t>
      </w:r>
      <w:r>
        <w:tab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Total transfer size</w:t>
      </w:r>
      <w:r>
        <w:br/>
      </w:r>
      <w:r>
        <w:tab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Source site</w:t>
      </w:r>
      <w:r>
        <w:br/>
      </w:r>
      <w:r>
        <w:tab/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Destination site</w:t>
      </w:r>
    </w:p>
    <w:p>
      <w:pPr>
        <w:sectPr>
          <w:type w:val="nextColumn"/>
          <w:pgSz w:w="12240" w:h="15840"/>
          <w:pgMar w:top="612" w:right="1044" w:bottom="762" w:left="1070" w:header="720" w:footer="720" w:gutter="0"/>
          <w:cols w:space="720" w:num="2" w:equalWidth="0">
            <w:col w:w="5066" w:space="0"/>
            <w:col w:w="5059" w:space="0"/>
            <w:col w:w="10126" w:space="0"/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tabs>
          <w:tab w:pos="8718" w:val="left"/>
        </w:tabs>
        <w:autoSpaceDE w:val="0"/>
        <w:widowControl/>
        <w:spacing w:line="162" w:lineRule="exact" w:before="0" w:after="288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 xml:space="preserve">PEARC ’22, July 10–14, 2022, Boston, MA, USA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4"/>
        </w:rPr>
        <w:t>Guiang and Arora, et al.</w:t>
      </w:r>
    </w:p>
    <w:p>
      <w:pPr>
        <w:sectPr>
          <w:pgSz w:w="12240" w:h="15840"/>
          <w:pgMar w:top="612" w:right="1026" w:bottom="1440" w:left="1070" w:header="720" w:footer="720" w:gutter="0"/>
          <w:cols w:space="720" w:num="1" w:equalWidth="0">
            <w:col w:w="10144" w:space="0"/>
            <w:col w:w="5066" w:space="0"/>
            <w:col w:w="5059" w:space="0"/>
            <w:col w:w="10126" w:space="0"/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22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(3) DMM processes the data from Rucio:</w:t>
      </w:r>
      <w:r>
        <w:rPr>
          <w:rFonts w:ascii="txsys" w:hAnsi="txsys" w:eastAsia="txsys"/>
          <w:b w:val="0"/>
          <w:i w:val="0"/>
          <w:color w:val="000000"/>
          <w:sz w:val="18"/>
        </w:rPr>
        <w:t>•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Priority</w:t>
      </w:r>
    </w:p>
    <w:p>
      <w:pPr>
        <w:autoSpaceDN w:val="0"/>
        <w:tabs>
          <w:tab w:pos="386" w:val="left"/>
          <w:tab w:pos="398" w:val="left"/>
          <w:tab w:pos="404" w:val="left"/>
          <w:tab w:pos="488" w:val="left"/>
          <w:tab w:pos="494" w:val="left"/>
          <w:tab w:pos="664" w:val="left"/>
        </w:tabs>
        <w:autoSpaceDE w:val="0"/>
        <w:widowControl/>
        <w:spacing w:line="220" w:lineRule="exact" w:before="28" w:after="0"/>
        <w:ind w:left="224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(a)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If the transfer has no priority, immediately place it on best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effort service (skip steps below) </w:t>
      </w:r>
      <w:r>
        <w:br/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(b)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Reserve an IPv6 address at the source and destination site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(c)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 Compute the bandwidth provision (i.e. promise) appropri-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ate for the transfer priority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(4)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 DMM requests a new promise from SENSE that implements </w:t>
      </w:r>
      <w:r>
        <w:tab/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the provisioning from (3c), reprovisioning existing promises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where appropriate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(5) DMM sends the IPv6 addresses it reserved to Rucio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(6) Rucio injects the IPv6 addresses into the FTS request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(7) SENSE takes one of the following actions: </w:t>
      </w:r>
      <w:r>
        <w:br/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(a)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Begin the construction of a new guaranteed-bandwidth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link </w:t>
      </w:r>
      <w:r>
        <w:br/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(b)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Do nothing; the transfer will be provided best effort service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(8)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SENSE sends identifying metadata for the link back to DMM</w:t>
      </w:r>
    </w:p>
    <w:p>
      <w:pPr>
        <w:autoSpaceDN w:val="0"/>
        <w:autoSpaceDE w:val="0"/>
        <w:widowControl/>
        <w:spacing w:line="220" w:lineRule="exact" w:before="38" w:after="0"/>
        <w:ind w:left="0" w:right="144" w:firstLine="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Several of these steps offer the opportunity for further optimization.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particular, it is clear that a future implementation may see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integration of DMM into Rucio such that the operations in steps (2)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through (5) can be implemented to better handle a large number of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transfers. Before then, however, DMM provides an isolated testbed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which the fundamental design of the interoperation model can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be prototyped. Step (3c) is of particular interest, because it imple-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ments the bandwidth provisioning–the central deliverable of this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work. The provisioning decision could be designed, for example,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allow Rucio operators to schedule transfers: e.g.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move Dataset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A to Site B in one week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. Alternatively, the decision could pack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maximum available bandwidth between two sites as a function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each transfer’s priority. In any case, this interoperation model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provides a flexible testbed for evaluating these ideas and producing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concrete metrics on their scalability, practicality, and efficiency.</w:t>
      </w:r>
    </w:p>
    <w:p>
      <w:pPr>
        <w:autoSpaceDN w:val="0"/>
        <w:tabs>
          <w:tab w:pos="336" w:val="left"/>
        </w:tabs>
        <w:autoSpaceDE w:val="0"/>
        <w:widowControl/>
        <w:spacing w:line="292" w:lineRule="exact" w:before="152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CURRENT STATUS</w:t>
      </w:r>
    </w:p>
    <w:p>
      <w:pPr>
        <w:autoSpaceDN w:val="0"/>
        <w:autoSpaceDE w:val="0"/>
        <w:widowControl/>
        <w:spacing w:line="220" w:lineRule="exact" w:before="30" w:after="0"/>
        <w:ind w:left="0" w:right="144" w:firstLine="0"/>
        <w:jc w:val="center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At the time of writing, the software side of this work is nearly ready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to test. The basic functionality required for the interoperation model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already available in SENSE, and the first version of DMM has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been written. In addition, Kubernetes-based XRootD configurations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 the source and destination sites have been prepared; this 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requires a particularly unusual XRootD configuration, but func-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tionality has been rigorously tested and confirmed. The hardware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side of this work is also nearing completion, despite the typical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pandemic-related technology supply chain delays. Testbeds with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specific networking capabilities are being assembled at Caltech and</w:t>
      </w:r>
    </w:p>
    <w:p>
      <w:pPr>
        <w:sectPr>
          <w:type w:val="continuous"/>
          <w:pgSz w:w="12240" w:h="15840"/>
          <w:pgMar w:top="612" w:right="1026" w:bottom="1440" w:left="1070" w:header="720" w:footer="720" w:gutter="0"/>
          <w:cols w:space="720" w:num="2" w:equalWidth="0">
            <w:col w:w="5062" w:space="0"/>
            <w:col w:w="5082" w:space="0"/>
            <w:col w:w="10144" w:space="0"/>
            <w:col w:w="5066" w:space="0"/>
            <w:col w:w="5059" w:space="0"/>
            <w:col w:w="10126" w:space="0"/>
            <w:col w:w="5076" w:space="0"/>
            <w:col w:w="5082" w:space="0"/>
            <w:col w:w="10158" w:space="0"/>
            <w:col w:w="5061" w:space="0"/>
            <w:col w:w="5086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30" w:after="0"/>
        <w:ind w:left="220" w:right="30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UCSD. Meanwhile, SENSE-specific site configurations are being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piloted at Caltech and are nearly ready to bring into the current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version of SENSE. Once everything is assembled, basic tests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begin immediately to show that all of the moving parts work in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concert. Finally, functionality explored in this prototype is expected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to be gradually moved into use during biennial LHC data challenges,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with the next starting in 2023, and from there into production.</w:t>
      </w:r>
    </w:p>
    <w:p>
      <w:pPr>
        <w:autoSpaceDN w:val="0"/>
        <w:autoSpaceDE w:val="0"/>
        <w:widowControl/>
        <w:spacing w:line="210" w:lineRule="exact" w:before="38" w:after="0"/>
        <w:ind w:left="228" w:right="30" w:firstLine="198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As most global collaborations in physics and astronomy share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same software stack as ATLAS and CMS, much of the same network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infrastructure, and share many of the same facilities, especially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Europe and Asia, it is expected that the work described here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eventually be adopted widely across global science collaborations,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once proven successful in production by its initial adopters.</w:t>
      </w:r>
    </w:p>
    <w:p>
      <w:pPr>
        <w:autoSpaceDN w:val="0"/>
        <w:autoSpaceDE w:val="0"/>
        <w:widowControl/>
        <w:spacing w:line="294" w:lineRule="exact" w:before="15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ACKNOWLEDGMENTS</w:t>
      </w:r>
    </w:p>
    <w:p>
      <w:pPr>
        <w:autoSpaceDN w:val="0"/>
        <w:autoSpaceDE w:val="0"/>
        <w:widowControl/>
        <w:spacing w:line="220" w:lineRule="exact" w:before="28" w:after="0"/>
        <w:ind w:left="228" w:right="0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This ongoing work is partially supported by the US National Sci-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ence Foundation (NSF) Grants OAC-2030508, OAC-1841530, OAC-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1836650, MPS-1148698, and PHY-1624356. In addition, the devel-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opment of SENSE is supported by the US Department of Energy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(DOE) Grants DE-SC0015527, DE-SC0015528, DE-SC0016585,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FP-00002494. Finally, this work would not be possible without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significant contributions of collaborators at ESNet, Caltech,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SDSC.</w:t>
      </w:r>
    </w:p>
    <w:p>
      <w:pPr>
        <w:autoSpaceDN w:val="0"/>
        <w:tabs>
          <w:tab w:pos="470" w:val="left"/>
        </w:tabs>
        <w:autoSpaceDE w:val="0"/>
        <w:widowControl/>
        <w:spacing w:line="172" w:lineRule="exact" w:before="27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REFERENCES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Johannes Albrecht et al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2019. A Roadmap for HEP Software and Computing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R&amp;D for the 2020s.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Computing and Software for Big Science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3, 1 (20 Mar 2019), 7.</w:t>
      </w:r>
    </w:p>
    <w:p>
      <w:pPr>
        <w:autoSpaceDN w:val="0"/>
        <w:tabs>
          <w:tab w:pos="470" w:val="left"/>
        </w:tabs>
        <w:autoSpaceDE w:val="0"/>
        <w:widowControl/>
        <w:spacing w:line="164" w:lineRule="exact" w:before="28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6" w:history="1">
          <w:r>
            <w:rPr>
              <w:rStyle w:val="Hyperlink"/>
            </w:rPr>
            <w:t xml:space="preserve">https://doi.org/10.1007/s41781-018-0018-8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26" w:history="1">
          <w:r>
            <w:rPr>
              <w:rStyle w:val="Hyperlink"/>
            </w:rPr>
            <w:t>A A Ayllon, M Salichos, M K Simon, and O K</w:t>
          </w:r>
        </w:hyperlink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eeble. 2014. FTS3: New Data Movement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Service For WLCG.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Journal of Physics: Conference Series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513, 3 (Jun 2014), 032081.</w:t>
      </w:r>
    </w:p>
    <w:p>
      <w:pPr>
        <w:autoSpaceDN w:val="0"/>
        <w:tabs>
          <w:tab w:pos="470" w:val="left"/>
        </w:tabs>
        <w:autoSpaceDE w:val="0"/>
        <w:widowControl/>
        <w:spacing w:line="164" w:lineRule="exact" w:before="28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7" w:history="1">
          <w:r>
            <w:rPr>
              <w:rStyle w:val="Hyperlink"/>
            </w:rPr>
            <w:t xml:space="preserve">https://doi.org/10.1088/1742-6596/513/3/032081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7" w:history="1">
          <w:r>
            <w:rPr>
              <w:rStyle w:val="Hyperlink"/>
            </w:rPr>
            <w:t>Martin Barisits, Thomas Beermann, Frank Berg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haus, et al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2019. Rucio: Scientific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Data Management.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Computing and Software for Big Science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3, 1 (09 Aug 2019), 11.</w:t>
      </w:r>
    </w:p>
    <w:p>
      <w:pPr>
        <w:autoSpaceDN w:val="0"/>
        <w:tabs>
          <w:tab w:pos="470" w:val="left"/>
        </w:tabs>
        <w:autoSpaceDE w:val="0"/>
        <w:widowControl/>
        <w:spacing w:line="158" w:lineRule="exact" w:before="36" w:after="0"/>
        <w:ind w:left="228" w:right="576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 xml:space="preserve">https://doi.org/10.1007/s41781-019-0026-3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[4]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 xml:space="preserve">CERN. 2022. CERN Homepage.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8" w:history="1">
          <w:r>
            <w:rPr>
              <w:rStyle w:val="Hyperlink"/>
            </w:rPr>
            <w:t>https://ce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9" w:history="1">
          <w:r>
            <w:rPr>
              <w:rStyle w:val="Hyperlink"/>
            </w:rPr>
            <w:t>rn.ch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Accessed: 2022-04-29.</w:t>
      </w:r>
    </w:p>
    <w:p>
      <w:pPr>
        <w:autoSpaceDN w:val="0"/>
        <w:autoSpaceDE w:val="0"/>
        <w:widowControl/>
        <w:spacing w:line="158" w:lineRule="exact" w:before="34" w:after="0"/>
        <w:ind w:left="470" w:right="34" w:hanging="242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[5]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CMS Collaboration. 2022. CMS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9" w:history="1">
          <w:r>
            <w:rPr>
              <w:rStyle w:val="Hyperlink"/>
            </w:rPr>
            <w:t xml:space="preserve">Offline and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Computing Public Results.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 xml:space="preserve">https:// </w:t>
          </w:r>
        </w:hyperlink>
      </w:r>
      <w:r>
        <w:rPr>
          <w:w w:val="98.72501237051827"/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>twiki.cern.ch/twiki/bin/view/CMSPublic/CMSOfflineComputingResul</w:t>
          </w:r>
        </w:hyperlink>
      </w:r>
      <w:r>
        <w:rPr>
          <w:w w:val="98.72501237051827"/>
          <w:rFonts w:ascii="LinLibertineT" w:hAnsi="LinLibertineT" w:eastAsia="LinLibertineT"/>
          <w:b w:val="0"/>
          <w:i w:val="0"/>
          <w:color w:val="000000"/>
          <w:sz w:val="14"/>
        </w:rPr>
        <w:t>ts A</w:t>
      </w:r>
      <w:r>
        <w:rPr>
          <w:w w:val="98.72501237051827"/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 xml:space="preserve">ccessed: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0" w:history="1">
          <w:r>
            <w:rPr>
              <w:rStyle w:val="Hyperlink"/>
            </w:rPr>
            <w:t>2022-04-29.</w:t>
          </w:r>
        </w:hyperlink>
      </w:r>
    </w:p>
    <w:p>
      <w:pPr>
        <w:autoSpaceDN w:val="0"/>
        <w:tabs>
          <w:tab w:pos="466" w:val="left"/>
          <w:tab w:pos="3968" w:val="left"/>
        </w:tabs>
        <w:autoSpaceDE w:val="0"/>
        <w:widowControl/>
        <w:spacing w:line="160" w:lineRule="exact" w:before="3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Alvise Dorigo, Peter Elmer, Fabrizio Furano, and Andrew Hanushevsky. 2005.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 xml:space="preserve">https://xrootd.slac.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XROOTD-A highly scalable architecture for data access.</w:t>
      </w:r>
    </w:p>
    <w:p>
      <w:pPr>
        <w:autoSpaceDN w:val="0"/>
        <w:autoSpaceDE w:val="0"/>
        <w:widowControl/>
        <w:spacing w:line="192" w:lineRule="exact" w:before="0" w:after="0"/>
        <w:ind w:left="47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 xml:space="preserve">stanford.edu/presentations/xpaper3_cut_journal.pdf 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Accesse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>d: 2022-04-01.</w:t>
          </w:r>
        </w:hyperlink>
      </w:r>
    </w:p>
    <w:p>
      <w:pPr>
        <w:autoSpaceDN w:val="0"/>
        <w:autoSpaceDE w:val="0"/>
        <w:widowControl/>
        <w:spacing w:line="162" w:lineRule="exact" w:before="30" w:after="0"/>
        <w:ind w:left="470" w:right="0" w:hanging="242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[7]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1" w:history="1">
          <w:r>
            <w:rPr>
              <w:rStyle w:val="Hyperlink"/>
            </w:rPr>
            <w:t>Inder Monga, Chin Guok, John MacAuley, Alex Si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m, Harvey Newman, Justas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Balcas, Phil DeMar, Linda Winkler, Tom Lehman, and Xi Yang. 2020. Software-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Defined Network for End-to-end Networked Science at the Exascale.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hyperlink r:id="rId32" w:history="1">
          <w:r>
            <w:rPr>
              <w:rStyle w:val="Hyperlink"/>
            </w:rPr>
            <w:t xml:space="preserve"> Future 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Generation Computer Systems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110 (2020), 181–201.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32" w:history="1">
          <w:r>
            <w:rPr>
              <w:rStyle w:val="Hyperlink"/>
            </w:rPr>
            <w:t>https://doi.org/10.1016/j.future.</w:t>
          </w:r>
        </w:hyperlink>
      </w:r>
    </w:p>
    <w:p>
      <w:pPr>
        <w:autoSpaceDN w:val="0"/>
        <w:tabs>
          <w:tab w:pos="470" w:val="left"/>
        </w:tabs>
        <w:autoSpaceDE w:val="0"/>
        <w:widowControl/>
        <w:spacing w:line="160" w:lineRule="exact" w:before="32" w:after="0"/>
        <w:ind w:left="228" w:right="0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2" w:history="1">
          <w:r>
            <w:rPr>
              <w:rStyle w:val="Hyperlink"/>
            </w:rPr>
            <w:t xml:space="preserve">2020.04.018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[8]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2" w:history="1">
          <w:r>
            <w:rPr>
              <w:rStyle w:val="Hyperlink"/>
            </w:rPr>
            <w:t>J. Zurawski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D. Brown, B. Carder, E. Colby, E. Dart, K. Miller, et al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2021.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2020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High Energy Physics Network Requirements Review Final Report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Report </w:t>
      </w:r>
      <w:r>
        <w:tab/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LBNL-2001398. Lawrence Berkeley National Laboratory.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 xml:space="preserve">https://escholarship.org/ </w:t>
          </w:r>
        </w:hyperlink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33" w:history="1">
          <w:r>
            <w:rPr>
              <w:rStyle w:val="Hyperlink"/>
            </w:rPr>
            <w:t>uc/item/78j3c9v4</w:t>
          </w:r>
        </w:hyperlink>
      </w:r>
    </w:p>
    <w:sectPr w:rsidR="00FC693F" w:rsidRPr="0006063C" w:rsidSect="00034616">
      <w:type w:val="nextColumn"/>
      <w:pgSz w:w="12240" w:h="15840"/>
      <w:pgMar w:top="612" w:right="1026" w:bottom="1440" w:left="1070" w:header="720" w:footer="720" w:gutter="0"/>
      <w:cols w:space="720" w:num="2" w:equalWidth="0">
        <w:col w:w="5062" w:space="0"/>
        <w:col w:w="5082" w:space="0"/>
        <w:col w:w="10144" w:space="0"/>
        <w:col w:w="5066" w:space="0"/>
        <w:col w:w="5059" w:space="0"/>
        <w:col w:w="10126" w:space="0"/>
        <w:col w:w="5076" w:space="0"/>
        <w:col w:w="5082" w:space="0"/>
        <w:col w:w="10158" w:space="0"/>
        <w:col w:w="5061" w:space="0"/>
        <w:col w:w="5086" w:space="0"/>
        <w:col w:w="10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orcid.org/0000-0002-2155-8260" TargetMode="External"/><Relationship Id="rId10" Type="http://schemas.openxmlformats.org/officeDocument/2006/relationships/hyperlink" Target="https://orcid.org/0000-0003-3453-4740" TargetMode="External"/><Relationship Id="rId11" Type="http://schemas.openxmlformats.org/officeDocument/2006/relationships/hyperlink" Target="https://orcid.org/0000-0002-8664-5154" TargetMode="External"/><Relationship Id="rId12" Type="http://schemas.openxmlformats.org/officeDocument/2006/relationships/hyperlink" Target="https://orcid.org/0000-0003-1125-448X" TargetMode="External"/><Relationship Id="rId13" Type="http://schemas.openxmlformats.org/officeDocument/2006/relationships/hyperlink" Target="https://orcid.org/0000-0002-1969-3121" TargetMode="External"/><Relationship Id="rId14" Type="http://schemas.openxmlformats.org/officeDocument/2006/relationships/hyperlink" Target="https://orcid.org/0000-0001-5912-6124" TargetMode="External"/><Relationship Id="rId15" Type="http://schemas.openxmlformats.org/officeDocument/2006/relationships/hyperlink" Target="https://orcid.org/0000-0002-9014-8521" TargetMode="External"/><Relationship Id="rId16" Type="http://schemas.openxmlformats.org/officeDocument/2006/relationships/hyperlink" Target="https://orcid.org/0000-0003-4532-1222" TargetMode="External"/><Relationship Id="rId17" Type="http://schemas.openxmlformats.org/officeDocument/2006/relationships/hyperlink" Target="https://orcid.org/0000-0001-8977-2303" TargetMode="External"/><Relationship Id="rId18" Type="http://schemas.openxmlformats.org/officeDocument/2006/relationships/hyperlink" Target="https://orcid.org/0000-0003-0964-1480" TargetMode="External"/><Relationship Id="rId19" Type="http://schemas.openxmlformats.org/officeDocument/2006/relationships/hyperlink" Target="https://orcid.org/0000-0001-9538-5078" TargetMode="External"/><Relationship Id="rId20" Type="http://schemas.openxmlformats.org/officeDocument/2006/relationships/image" Target="media/image1.png"/><Relationship Id="rId21" Type="http://schemas.openxmlformats.org/officeDocument/2006/relationships/hyperlink" Target="https://creativecommons.org/licenses/by/4.0/" TargetMode="External"/><Relationship Id="rId22" Type="http://schemas.openxmlformats.org/officeDocument/2006/relationships/hyperlink" Target="https://doi.org/10.1145/3491418.3535134" TargetMode="Externa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hyperlink" Target="https://doi.org/10.1007/s41781-018-0018-8" TargetMode="External"/><Relationship Id="rId27" Type="http://schemas.openxmlformats.org/officeDocument/2006/relationships/hyperlink" Target="https://doi.org/10.1088/1742-6596/513/3/032081" TargetMode="External"/><Relationship Id="rId28" Type="http://schemas.openxmlformats.org/officeDocument/2006/relationships/hyperlink" Target="https://doi.org/10.1007/s41781-019-0026-3" TargetMode="External"/><Relationship Id="rId29" Type="http://schemas.openxmlformats.org/officeDocument/2006/relationships/hyperlink" Target="https://cern.ch" TargetMode="External"/><Relationship Id="rId30" Type="http://schemas.openxmlformats.org/officeDocument/2006/relationships/hyperlink" Target="https://twiki.cern.ch/twiki/bin/view/CMSPublic/CMSOfflineComputingResults" TargetMode="External"/><Relationship Id="rId31" Type="http://schemas.openxmlformats.org/officeDocument/2006/relationships/hyperlink" Target="https://xrootd.slac.stanford.edu/presentations/xpaper3_cut_journal.pdf" TargetMode="External"/><Relationship Id="rId32" Type="http://schemas.openxmlformats.org/officeDocument/2006/relationships/hyperlink" Target="https://doi.org/10.1016/j.future.2020.04.018" TargetMode="External"/><Relationship Id="rId33" Type="http://schemas.openxmlformats.org/officeDocument/2006/relationships/hyperlink" Target="https://escholarship.org/uc/item/78j3c9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