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60"/>
        <w:ind w:left="0" w:right="0"/>
      </w:pPr>
    </w:p>
    <w:p>
      <w:pPr>
        <w:autoSpaceDN w:val="0"/>
        <w:autoSpaceDE w:val="0"/>
        <w:widowControl/>
        <w:spacing w:line="444" w:lineRule="exact" w:before="0" w:after="116"/>
        <w:ind w:left="0" w:right="0" w:firstLine="0"/>
        <w:jc w:val="center"/>
      </w:pPr>
      <w:r>
        <w:rPr>
          <w:w w:val="101.26470677992876"/>
          <w:rFonts w:ascii="LinBiolinumTB" w:hAnsi="LinBiolinumTB" w:eastAsia="LinBiolinumTB"/>
          <w:b/>
          <w:i w:val="0"/>
          <w:color w:val="000000"/>
          <w:sz w:val="34"/>
        </w:rPr>
        <w:t>DiBB: Distributing Black-Box Optimization</w:t>
      </w:r>
    </w:p>
    <w:p>
      <w:pPr>
        <w:sectPr>
          <w:pgSz w:w="12240" w:h="15840"/>
          <w:pgMar w:top="780" w:right="1026" w:bottom="106" w:left="1066" w:header="720" w:footer="720" w:gutter="0"/>
          <w:cols w:space="720" w:num="1" w:equalWidth="0"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76" w:after="0"/>
        <w:ind w:left="1296" w:right="1008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4"/>
        </w:rPr>
        <w:t xml:space="preserve">Giuseppe Cuccu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4"/>
        </w:rPr>
        <w:t>Luca Rolshoven</w:t>
      </w:r>
      <w:r>
        <w:rPr>
          <w:w w:val="97.41111331515842"/>
          <w:rFonts w:ascii="LinLibertineT" w:hAnsi="LinLibertineT" w:eastAsia="LinLibertineT"/>
          <w:b w:val="0"/>
          <w:i w:val="0"/>
          <w:color w:val="000000"/>
          <w:sz w:val="18"/>
        </w:rPr>
        <w:t>∗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4"/>
        </w:rPr>
        <w:t>Fabien Vorpe</w:t>
      </w:r>
      <w:r>
        <w:rPr>
          <w:w w:val="97.41111331515842"/>
          <w:rFonts w:ascii="LinLibertineT" w:hAnsi="LinLibertineT" w:eastAsia="LinLibertineT"/>
          <w:b w:val="0"/>
          <w:i w:val="0"/>
          <w:color w:val="000000"/>
          <w:sz w:val="18"/>
        </w:rPr>
        <w:t>∗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4"/>
        </w:rPr>
        <w:t xml:space="preserve">Philippe Cudré-Mauroux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name.surname@unifr.ch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Exascale Infolab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University of Fribourg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Switzerland</w:t>
      </w:r>
    </w:p>
    <w:p>
      <w:pPr>
        <w:autoSpaceDN w:val="0"/>
        <w:autoSpaceDE w:val="0"/>
        <w:widowControl/>
        <w:spacing w:line="292" w:lineRule="exact" w:before="82" w:after="0"/>
        <w:ind w:left="1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>ABSTRACT</w:t>
      </w:r>
    </w:p>
    <w:p>
      <w:pPr>
        <w:autoSpaceDN w:val="0"/>
        <w:autoSpaceDE w:val="0"/>
        <w:widowControl/>
        <w:spacing w:line="220" w:lineRule="exact" w:before="30" w:after="0"/>
        <w:ind w:left="4" w:right="0" w:firstLine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DiBB (for Distributing Black-Box) is a meta-algorithm and frame-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work that addresses the decades-old scalability issue of Black-Box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Optimization (BBO), including Evolutionary Computation. Algo-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rithmically, it does so by creating out-of-the-box a Partially Sep-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arable (PS) version of any existing black-box algorithm. This 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done by leveraging expert knowledge about the task at hand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define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blocks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of parameters expected to have significant correla-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tion, such as weights entering a same neuron/layer in a neuroevo-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lution application. DiBB distributes the computation to a set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machines without further customization, while still retaining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advanced features of the underlying BBO algorithm, such as scale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invariance and step-size adaptation, which are typically lost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recent distributed ES implementations. This is achieved by instan-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tiating a separate instance of the underlying base algorithm for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each block, running on a dedicated machine, with DiBB handling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communication and constructing complete individuals for evalu-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ation on the original task. DiBB’s performance scales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constantly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with the number of parameter-blocks defined, which should allow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 unprecedented applications on large clusters. Our reference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implementation (Python, on GitHub and PyPI) demonstrates a 5x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speed-up on COCO/BBOB using our new PS-CMA-ES. We also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showcase a neuroevolution application (11 590 weights) on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PyBullet Walker2D with our new PS-LM-MA-ES.</w:t>
      </w:r>
    </w:p>
    <w:p>
      <w:pPr>
        <w:autoSpaceDN w:val="0"/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>CCS CONCEPTS</w:t>
      </w:r>
    </w:p>
    <w:p>
      <w:pPr>
        <w:autoSpaceDN w:val="0"/>
        <w:autoSpaceDE w:val="0"/>
        <w:widowControl/>
        <w:spacing w:line="370" w:lineRule="exact" w:before="0" w:after="0"/>
        <w:ind w:left="1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Computing methodologies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Randomized search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94" w:lineRule="exact" w:before="84" w:after="0"/>
        <w:ind w:left="1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>KEYWORDS</w:t>
      </w:r>
    </w:p>
    <w:p>
      <w:pPr>
        <w:autoSpaceDN w:val="0"/>
        <w:autoSpaceDE w:val="0"/>
        <w:widowControl/>
        <w:spacing w:line="220" w:lineRule="exact" w:before="28" w:after="0"/>
        <w:ind w:left="1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Black-Box Optimization, Distributed Algorithms, Parallelization,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Evolution Strategies, Neuroevolution</w:t>
      </w:r>
    </w:p>
    <w:p>
      <w:pPr>
        <w:autoSpaceDN w:val="0"/>
        <w:autoSpaceDE w:val="0"/>
        <w:widowControl/>
        <w:spacing w:line="212" w:lineRule="exact" w:before="36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1"/>
        </w:rPr>
        <w:t>∗</w:t>
      </w:r>
      <w:r>
        <w:rPr>
          <w:w w:val="98.67756026131767"/>
          <w:rFonts w:ascii="LinLibertineT" w:hAnsi="LinLibertineT" w:eastAsia="LinLibertineT"/>
          <w:b w:val="0"/>
          <w:i w:val="0"/>
          <w:color w:val="000000"/>
          <w:sz w:val="14"/>
        </w:rPr>
        <w:t>This paper includes contributions from Rolshoven’s and Vorpe’s Master Thesis work.</w:t>
      </w:r>
    </w:p>
    <w:p>
      <w:pPr>
        <w:autoSpaceDN w:val="0"/>
        <w:autoSpaceDE w:val="0"/>
        <w:widowControl/>
        <w:spacing w:line="160" w:lineRule="exact" w:before="428" w:after="0"/>
        <w:ind w:left="10" w:right="72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Permission to make digital or hard copies of all or part of this work for personal or </w:t>
      </w:r>
      <w:r>
        <w:rPr>
          <w:w w:val="98.92871039254325"/>
          <w:rFonts w:ascii="LinLibertineT" w:hAnsi="LinLibertineT" w:eastAsia="LinLibertineT"/>
          <w:b w:val="0"/>
          <w:i w:val="0"/>
          <w:color w:val="000000"/>
          <w:sz w:val="14"/>
        </w:rPr>
        <w:t xml:space="preserve">classroom use is granted without fee provided that copies are not made or distributed 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for profit or commercial advantage and that copies bear this notice and the full citation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on the first page. Copyrights for components of this work owned by others than the 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author(s) must be honored. Abstracting with credit is permitted. To copy otherwise, or 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republish, to post on servers or to redistribute to lists, requires prior specific permission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and/or a fee. Request permissions from permissions@acm.org.</w:t>
      </w:r>
    </w:p>
    <w:p>
      <w:pPr>
        <w:autoSpaceDN w:val="0"/>
        <w:autoSpaceDE w:val="0"/>
        <w:widowControl/>
        <w:spacing w:line="168" w:lineRule="exact" w:before="14" w:after="0"/>
        <w:ind w:left="0" w:right="144" w:firstLine="10"/>
        <w:jc w:val="left"/>
      </w:pPr>
      <w:r>
        <w:rPr>
          <w:rFonts w:ascii="LinLibertineTI" w:hAnsi="LinLibertineTI" w:eastAsia="LinLibertineTI"/>
          <w:b w:val="0"/>
          <w:i/>
          <w:color w:val="000000"/>
          <w:sz w:val="14"/>
        </w:rPr>
        <w:t>GECCO ’22, July 9–13, 2022, Boston, MA, USA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© 2022 Copyright held by the owner/author(s). Publication rights licensed to ACM.</w:t>
      </w:r>
    </w:p>
    <w:p>
      <w:pPr>
        <w:autoSpaceDN w:val="0"/>
        <w:autoSpaceDE w:val="0"/>
        <w:widowControl/>
        <w:spacing w:line="158" w:lineRule="exact" w:before="36" w:after="0"/>
        <w:ind w:left="10" w:right="2304" w:hanging="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ACM ISBN 978-1-4503-9237-2/22/07...$15.00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https://doi.org/10.1145/3512290.3528764</w:t>
          </w:r>
        </w:hyperlink>
      </w:r>
    </w:p>
    <w:p>
      <w:pPr>
        <w:sectPr>
          <w:type w:val="continuous"/>
          <w:pgSz w:w="12240" w:h="15840"/>
          <w:pgMar w:top="780" w:right="1026" w:bottom="106" w:left="1066" w:header="720" w:footer="720" w:gutter="0"/>
          <w:cols w:space="720" w:num="2" w:equalWidth="0"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341</w:t>
      </w:r>
    </w:p>
    <w:p>
      <w:pPr>
        <w:sectPr>
          <w:type w:val="nextColumn"/>
          <w:pgSz w:w="12240" w:h="15840"/>
          <w:pgMar w:top="780" w:right="1026" w:bottom="106" w:left="1066" w:header="720" w:footer="720" w:gutter="0"/>
          <w:cols w:space="720" w:num="2" w:equalWidth="0"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tabs>
          <w:tab w:pos="9386" w:val="left"/>
        </w:tabs>
        <w:autoSpaceDE w:val="0"/>
        <w:widowControl/>
        <w:spacing w:line="162" w:lineRule="exact" w:before="0" w:after="288"/>
        <w:ind w:left="6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GECCO ’22, July 9–13,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Cuccu, et al.</w:t>
      </w:r>
    </w:p>
    <w:p>
      <w:pPr>
        <w:sectPr>
          <w:pgSz w:w="12240" w:h="15840"/>
          <w:pgMar w:top="610" w:right="1026" w:bottom="106" w:left="1070" w:header="720" w:footer="720" w:gutter="0"/>
          <w:cols w:space="720" w:num="1" w:equalWidth="0"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(e.g. sep-CMA-ES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] and SNES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29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]), trading off significant con-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vergence speed for wall-clock speed by relinquishing covariance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information altogether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18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]. Previous work by the authors also cov-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ers a generalization of this trade-off by establishing a</w:t>
      </w:r>
      <w:r>
        <w:rPr>
          <w:w w:val="98.62096574571397"/>
          <w:rFonts w:ascii="LinLibertineTI" w:hAnsi="LinLibertineTI" w:eastAsia="LinLibertineTI"/>
          <w:b w:val="0"/>
          <w:i/>
          <w:color w:val="000000"/>
          <w:sz w:val="18"/>
        </w:rPr>
        <w:t xml:space="preserve"> block-diagonal </w:t>
      </w:r>
      <w:r>
        <w:rPr>
          <w:w w:val="98.62096574571397"/>
          <w:rFonts w:ascii="LinLibertineTI" w:hAnsi="LinLibertineTI" w:eastAsia="LinLibertineTI"/>
          <w:b w:val="0"/>
          <w:i/>
          <w:color w:val="000000"/>
          <w:sz w:val="18"/>
        </w:rPr>
        <w:t>covariance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matrix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6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], leveraging the fact that the correlation among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variables is not uniform for most complex problems, and that this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information is often available to the user based on the target task.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This provides initial inspiration for this work, as discussed below.</w:t>
      </w:r>
    </w:p>
    <w:p>
      <w:pPr>
        <w:autoSpaceDN w:val="0"/>
        <w:tabs>
          <w:tab w:pos="502" w:val="left"/>
        </w:tabs>
        <w:autoSpaceDE w:val="0"/>
        <w:widowControl/>
        <w:spacing w:line="294" w:lineRule="exact" w:before="156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1.1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Intuition and design</w:t>
      </w:r>
    </w:p>
    <w:p>
      <w:pPr>
        <w:autoSpaceDN w:val="0"/>
        <w:autoSpaceDE w:val="0"/>
        <w:widowControl/>
        <w:spacing w:line="220" w:lineRule="exact" w:before="28" w:after="0"/>
        <w:ind w:left="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BBO algorithms are designed to work in any unknowable (black-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box) environment. By design, BBO algorithms cannot integrate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task knowledge, in order to ensure that no illegitimate assumptions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are made in their design. In most real-world applications however,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some degree of expert knowledge is often available about the end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task, making it rather a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gray-box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setting. Expert knowledge about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correlation between variables is often simple to deduce, as it 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task-specific.</w:t>
      </w:r>
    </w:p>
    <w:p>
      <w:pPr>
        <w:autoSpaceDN w:val="0"/>
        <w:autoSpaceDE w:val="0"/>
        <w:widowControl/>
        <w:spacing w:line="220" w:lineRule="exact" w:before="28" w:after="0"/>
        <w:ind w:left="0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 example in neuroevolution, where evolutionary algorithms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learn the parameters of a neural network, weights of connections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entering the same neuron are by necessity highly correlated, as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network’s equation aggregates them in a linear combination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prior to activation. While weights entering different neurons 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not entirely uncorrelated, the expectation on their covariance 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(relatively) significantly lower. A similar reasoning is easily made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about neurons entering a same layer versus neurons in different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layers, and remains true as the network expands towards deep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networks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 The assumption of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partial correlation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, which allows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partitioning the variables into highly intra-correlated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blocks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, leads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the blocks being separable between one another, i.e. low inter-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correlation. The corresponding covariance matrix becomes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block-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>diagonal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 as explored in our previous work [6].</w:t>
      </w:r>
    </w:p>
    <w:p>
      <w:pPr>
        <w:autoSpaceDN w:val="0"/>
        <w:autoSpaceDE w:val="0"/>
        <w:widowControl/>
        <w:spacing w:line="220" w:lineRule="exact" w:before="28" w:after="0"/>
        <w:ind w:left="6" w:right="5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This paper extends the concept by leveraging the underlying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assumption of separability between blocks to optimize each block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variables using a different, independent instance of the same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BBO algorithm. As a consequence, block-wise computation can now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be distributed across multiple machines: not only the individual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fitnesses can be evaluated in an embarrassingly parallel fashion,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but different blocks can be searched asynchronously, and each 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 xml:space="preserve">BBO instance can be distributed to different nodes in a cluster (see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Figure 1).</w:t>
      </w:r>
    </w:p>
    <w:p>
      <w:pPr>
        <w:autoSpaceDN w:val="0"/>
        <w:autoSpaceDE w:val="0"/>
        <w:widowControl/>
        <w:spacing w:line="220" w:lineRule="exact" w:before="28" w:after="0"/>
        <w:ind w:left="0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Based on the above insights, this paper proposes a new meta-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algorithm and framework for Distributed Black Box optimization,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named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DiBB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. DiBB is particularly suited for large-scale problems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evidently structured, as not infrequent (arguably common) in real-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world applications. We provide rigorous theoretical arguments for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sample efficiency of this approach in Section 2, and further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explore the example application of neuroevolution in Section 4.3.</w:t>
      </w:r>
    </w:p>
    <w:p>
      <w:pPr>
        <w:autoSpaceDN w:val="0"/>
        <w:tabs>
          <w:tab w:pos="502" w:val="left"/>
        </w:tabs>
        <w:autoSpaceDE w:val="0"/>
        <w:widowControl/>
        <w:spacing w:line="292" w:lineRule="exact" w:before="158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1.2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Challenges</w:t>
      </w:r>
    </w:p>
    <w:p>
      <w:pPr>
        <w:autoSpaceDN w:val="0"/>
        <w:autoSpaceDE w:val="0"/>
        <w:widowControl/>
        <w:spacing w:line="224" w:lineRule="exact" w:before="24" w:after="0"/>
        <w:ind w:left="6" w:right="76" w:hanging="6"/>
        <w:jc w:val="both"/>
      </w:pP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 xml:space="preserve">A major challenge comes with solution evaluation: a BBO instance </w:t>
      </w:r>
      <w:r>
        <w:rPr>
          <w:w w:val="98.67126676771376"/>
          <w:rFonts w:ascii="LinLibertineT" w:hAnsi="LinLibertineT" w:eastAsia="LinLibertineT"/>
          <w:b w:val="0"/>
          <w:i w:val="0"/>
          <w:color w:val="000000"/>
          <w:sz w:val="18"/>
        </w:rPr>
        <w:t xml:space="preserve">running on one machine will produce a population of samples that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are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incomplete individuals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 as the variables constituting a complete</w:t>
      </w:r>
    </w:p>
    <w:p>
      <w:pPr>
        <w:autoSpaceDN w:val="0"/>
        <w:autoSpaceDE w:val="0"/>
        <w:widowControl/>
        <w:spacing w:line="160" w:lineRule="exact" w:before="132" w:after="0"/>
        <w:ind w:left="2" w:right="72" w:hanging="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1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The fundamental assumption of partial separability across network layers however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does not seem to be very well studied in the literature, despite a considerable body of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work on neural network loss landscapes [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31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]. This can be partially tracked to the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limited availability of algorithms making use of partial correlation information.</w:t>
      </w:r>
    </w:p>
    <w:p>
      <w:pPr>
        <w:sectPr>
          <w:type w:val="continuous"/>
          <w:pgSz w:w="12240" w:h="15840"/>
          <w:pgMar w:top="610" w:right="1026" w:bottom="106" w:left="1070" w:header="720" w:footer="720" w:gutter="0"/>
          <w:cols w:space="720" w:num="2" w:equalWidth="0"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342</w:t>
      </w:r>
    </w:p>
    <w:p>
      <w:pPr>
        <w:sectPr>
          <w:type w:val="nextColumn"/>
          <w:pgSz w:w="12240" w:h="15840"/>
          <w:pgMar w:top="610" w:right="1026" w:bottom="106" w:left="1070" w:header="720" w:footer="720" w:gutter="0"/>
          <w:cols w:space="720" w:num="2" w:equalWidth="0"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1449"/>
        <w:gridCol w:w="1449"/>
        <w:gridCol w:w="1449"/>
        <w:gridCol w:w="1449"/>
        <w:gridCol w:w="1449"/>
        <w:gridCol w:w="1449"/>
        <w:gridCol w:w="1449"/>
      </w:tblGrid>
      <w:tr>
        <w:trPr>
          <w:trHeight w:hRule="exact" w:val="464"/>
        </w:trPr>
        <w:tc>
          <w:tcPr>
            <w:tcW w:type="dxa" w:w="3832"/>
            <w:gridSpan w:val="3"/>
            <w:tcBorders>
              <w:bottom w:sz="3.4398932456970215" w:val="single" w:color="#66666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4"/>
              </w:rPr>
              <w:t>DiBB: Distributing Black-Box Optimization</w:t>
            </w:r>
          </w:p>
        </w:tc>
        <w:tc>
          <w:tcPr>
            <w:tcW w:type="dxa" w:w="1560"/>
            <w:tcBorders>
              <w:bottom w:sz="3.4398932456970215" w:val="single" w:color="#666666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74"/>
            <w:gridSpan w:val="3"/>
            <w:tcBorders>
              <w:bottom w:sz="3.4398932456970215" w:val="single" w:color="#66666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4"/>
              </w:rPr>
              <w:t>GECCO ’22, July 9–13, 2022, Boston, MA, USA</w:t>
            </w:r>
          </w:p>
        </w:tc>
      </w:tr>
      <w:tr>
        <w:trPr>
          <w:trHeight w:hRule="exact" w:val="325"/>
        </w:trPr>
        <w:tc>
          <w:tcPr>
            <w:tcW w:type="dxa" w:w="1510"/>
            <w:tcBorders>
              <w:top w:sz="3.4398932456970215" w:val="single" w:color="#666666"/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308" w:right="0" w:firstLine="0"/>
              <w:jc w:val="left"/>
            </w:pPr>
            <w:r>
              <w:rPr>
                <w:w w:val="101.17016960592831"/>
                <w:rFonts w:ascii="Times New Roman" w:hAnsi="Times New Roman" w:eastAsia="Times New Roman"/>
                <w:b/>
                <w:i/>
                <w:color w:val="000000"/>
                <w:sz w:val="17"/>
              </w:rPr>
              <w:t>Head</w:t>
            </w:r>
            <w:r>
              <w:rPr>
                <w:w w:val="101.17016960592831"/>
                <w:rFonts w:ascii="Times New Roman" w:hAnsi="Times New Roman" w:eastAsia="Times New Roman"/>
                <w:b w:val="0"/>
                <w:i/>
                <w:color w:val="000000"/>
                <w:sz w:val="17"/>
              </w:rPr>
              <w:t xml:space="preserve"> node</w:t>
            </w:r>
          </w:p>
        </w:tc>
        <w:tc>
          <w:tcPr>
            <w:tcW w:type="dxa" w:w="2322"/>
            <w:gridSpan w:val="2"/>
            <w:tcBorders>
              <w:start w:sz="3.4398932456970215" w:val="single" w:color="#666666"/>
              <w:top w:sz="3.4398932456970215" w:val="single" w:color="#6666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8" w:after="0"/>
              <w:ind w:left="0" w:right="0" w:firstLine="0"/>
              <w:jc w:val="center"/>
            </w:pPr>
            <w:r>
              <w:rPr>
                <w:w w:val="98.27958515712193"/>
                <w:rFonts w:ascii="Times New Roman" w:hAnsi="Times New Roman" w:eastAsia="Times New Roman"/>
                <w:b w:val="0"/>
                <w:i/>
                <w:color w:val="000000"/>
                <w:sz w:val="14"/>
              </w:rPr>
              <w:t>BLOCK WORKER</w:t>
            </w:r>
          </w:p>
        </w:tc>
        <w:tc>
          <w:tcPr>
            <w:tcW w:type="dxa" w:w="1560"/>
            <w:tcBorders>
              <w:top w:sz="3.4398932456970215" w:val="single" w:color="#666666"/>
              <w:bottom w:sz="3.4398930072784424" w:val="single" w:color="#B8535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" w:after="0"/>
              <w:ind w:left="0" w:right="0" w:firstLine="0"/>
              <w:jc w:val="center"/>
            </w:pPr>
            <w:r>
              <w:rPr>
                <w:w w:val="101.17016960592831"/>
                <w:rFonts w:ascii="Times New Roman" w:hAnsi="Times New Roman" w:eastAsia="Times New Roman"/>
                <w:b w:val="0"/>
                <w:i/>
                <w:color w:val="000000"/>
                <w:sz w:val="17"/>
              </w:rPr>
              <w:t xml:space="preserve">Worker node </w:t>
            </w:r>
            <w:r>
              <w:rPr>
                <w:w w:val="101.17016960592831"/>
                <w:rFonts w:ascii="Times New Roman" w:hAnsi="Times New Roman" w:eastAsia="Times New Roman"/>
                <w:b/>
                <w:i/>
                <w:color w:val="000000"/>
                <w:sz w:val="17"/>
              </w:rPr>
              <w:t>A</w:t>
            </w:r>
          </w:p>
        </w:tc>
        <w:tc>
          <w:tcPr>
            <w:tcW w:type="dxa" w:w="2782"/>
            <w:gridSpan w:val="2"/>
            <w:tcBorders>
              <w:top w:sz="3.4398932456970215" w:val="single" w:color="#666666"/>
              <w:end w:sz="3.4398930072784424" w:val="single" w:color="#6B8EBE"/>
              <w:bottom w:sz="3.4398930072784424" w:val="single" w:color="#B8535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608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 w:val="0"/>
                <w:i/>
                <w:color w:val="000000"/>
                <w:sz w:val="14"/>
              </w:rPr>
              <w:t>BLOCK WORKER</w:t>
            </w:r>
          </w:p>
        </w:tc>
        <w:tc>
          <w:tcPr>
            <w:tcW w:type="dxa" w:w="1892"/>
            <w:tcBorders>
              <w:start w:sz="3.4398930072784424" w:val="single" w:color="#6B8EBE"/>
              <w:top w:sz="3.4398932456970215" w:val="single" w:color="#666666"/>
              <w:bottom w:sz="3.4398930072784424" w:val="single" w:color="#B8535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" w:after="0"/>
              <w:ind w:left="292" w:right="0" w:firstLine="0"/>
              <w:jc w:val="left"/>
            </w:pPr>
            <w:r>
              <w:rPr>
                <w:w w:val="101.17016960592831"/>
                <w:rFonts w:ascii="Times New Roman" w:hAnsi="Times New Roman" w:eastAsia="Times New Roman"/>
                <w:b w:val="0"/>
                <w:i/>
                <w:color w:val="000000"/>
                <w:sz w:val="17"/>
              </w:rPr>
              <w:t xml:space="preserve">Worker node </w:t>
            </w:r>
            <w:r>
              <w:rPr>
                <w:w w:val="101.17016960592831"/>
                <w:rFonts w:ascii="Times New Roman" w:hAnsi="Times New Roman" w:eastAsia="Times New Roman"/>
                <w:b/>
                <w:i/>
                <w:color w:val="000000"/>
                <w:sz w:val="17"/>
              </w:rPr>
              <w:t>B</w:t>
            </w:r>
          </w:p>
        </w:tc>
      </w:tr>
      <w:tr>
        <w:trPr>
          <w:trHeight w:hRule="exact" w:val="105"/>
        </w:trPr>
        <w:tc>
          <w:tcPr>
            <w:tcW w:type="dxa" w:w="1510"/>
            <w:tcBorders>
              <w:bottom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634" w:firstLine="0"/>
              <w:jc w:val="right"/>
            </w:pPr>
            <w:r>
              <w:rPr>
                <w:shd w:val="clear" w:color="auto" w:fill="f8cecc"/>
                <w:w w:val="98.27958515712193"/>
                <w:rFonts w:ascii="Times New Roman" w:hAnsi="Times New Roman" w:eastAsia="Times New Roman"/>
                <w:b w:val="0"/>
                <w:i/>
                <w:color w:val="000000"/>
                <w:sz w:val="14"/>
              </w:rPr>
              <w:t xml:space="preserve">DIBB </w:t>
            </w:r>
          </w:p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0" w:after="0"/>
              <w:ind w:left="0" w:right="150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 w:val="0"/>
                <w:i/>
                <w:color w:val="000000"/>
                <w:sz w:val="14"/>
              </w:rPr>
              <w:t>BBO instance</w:t>
            </w:r>
          </w:p>
        </w:tc>
        <w:tc>
          <w:tcPr>
            <w:tcW w:type="dxa" w:w="1100"/>
            <w:vMerge w:val="restart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Local copy of</w:t>
            </w:r>
          </w:p>
        </w:tc>
        <w:tc>
          <w:tcPr>
            <w:tcW w:type="dxa" w:w="1560"/>
            <w:vMerge w:val="restart"/>
            <w:tcBorders>
              <w:top w:sz="3.4398930072784424" w:val="single" w:color="#B85350"/>
              <w:bottom w:sz="3.4398930072784424" w:val="single" w:color="#D69B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682"/>
            <w:vMerge w:val="restart"/>
            <w:tcBorders>
              <w:top w:sz="3.4398930072784424" w:val="single" w:color="#B85350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6" w:after="0"/>
              <w:ind w:left="0" w:right="158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 w:val="0"/>
                <w:i/>
                <w:color w:val="000000"/>
                <w:sz w:val="14"/>
              </w:rPr>
              <w:t>BBO instance</w:t>
            </w:r>
          </w:p>
        </w:tc>
        <w:tc>
          <w:tcPr>
            <w:tcW w:type="dxa" w:w="2992"/>
            <w:gridSpan w:val="2"/>
            <w:vMerge w:val="restart"/>
            <w:tcBorders>
              <w:start w:sz="3.4398930072784424" w:val="single" w:color="#82B366"/>
              <w:top w:sz="3.4398930072784424" w:val="single" w:color="#B8535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4" w:after="0"/>
              <w:ind w:left="144" w:right="201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Local copy of 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2"/>
              </w:rPr>
              <w:t>global</w:t>
            </w:r>
          </w:p>
        </w:tc>
      </w:tr>
      <w:tr>
        <w:trPr>
          <w:trHeight w:hRule="exact" w:val="81"/>
        </w:trPr>
        <w:tc>
          <w:tcPr>
            <w:tcW w:type="dxa" w:w="1510"/>
            <w:tcBorders>
              <w:top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B85350"/>
              <w:bottom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B85350"/>
              <w:end w:sz="3.4398930072784424" w:val="single" w:color="#82B366"/>
            </w:tcBorders>
          </w:tcPr>
          <w:p/>
        </w:tc>
        <w:tc>
          <w:tcPr>
            <w:tcW w:type="dxa" w:w="2898"/>
            <w:gridSpan w:val="2"/>
            <w:vMerge/>
            <w:tcBorders>
              <w:start w:sz="3.4398930072784424" w:val="single" w:color="#82B366"/>
              <w:top w:sz="3.4398930072784424" w:val="single" w:color="#B85350"/>
            </w:tcBorders>
          </w:tcPr>
          <w:p/>
        </w:tc>
      </w:tr>
      <w:tr>
        <w:trPr>
          <w:trHeight w:hRule="exact" w:val="143"/>
        </w:trPr>
        <w:tc>
          <w:tcPr>
            <w:tcW w:type="dxa" w:w="1510"/>
            <w:tcBorders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08" w:right="0" w:firstLine="0"/>
              <w:jc w:val="left"/>
            </w:pPr>
            <w:r>
              <w:rPr>
                <w:w w:val="98.27958515712193"/>
                <w:rFonts w:ascii="Times New Roman" w:hAnsi="Times New Roman" w:eastAsia="Times New Roman"/>
                <w:b w:val="0"/>
                <w:i/>
                <w:color w:val="000000"/>
                <w:sz w:val="14"/>
              </w:rPr>
              <w:t>MAIN ROUTINE</w:t>
            </w:r>
          </w:p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100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2"/>
              </w:rPr>
              <w:t>global</w:t>
            </w:r>
          </w:p>
        </w:tc>
        <w:tc>
          <w:tcPr>
            <w:tcW w:type="dxa" w:w="1449"/>
            <w:vMerge/>
            <w:tcBorders>
              <w:top w:sz="3.4398930072784424" w:val="single" w:color="#B85350"/>
              <w:bottom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B85350"/>
              <w:end w:sz="3.4398930072784424" w:val="single" w:color="#82B366"/>
            </w:tcBorders>
          </w:tcPr>
          <w:p/>
        </w:tc>
        <w:tc>
          <w:tcPr>
            <w:tcW w:type="dxa" w:w="2898"/>
            <w:gridSpan w:val="2"/>
            <w:vMerge/>
            <w:tcBorders>
              <w:start w:sz="3.4398930072784424" w:val="single" w:color="#82B366"/>
              <w:top w:sz="3.4398930072784424" w:val="single" w:color="#B85350"/>
            </w:tcBorders>
          </w:tcPr>
          <w:p/>
        </w:tc>
      </w:tr>
      <w:tr>
        <w:trPr>
          <w:trHeight w:hRule="exact" w:val="223"/>
        </w:trPr>
        <w:tc>
          <w:tcPr>
            <w:tcW w:type="dxa" w:w="1510"/>
            <w:tcBorders>
              <w:end w:sz="3.4398932456970215" w:val="single" w:color="#666666"/>
              <w:bottom w:sz="3.4398930072784424" w:val="single" w:color="#D69B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222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0" w:right="368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2"/>
              </w:rPr>
              <w:t xml:space="preserve">Local </w:t>
            </w:r>
          </w:p>
        </w:tc>
        <w:tc>
          <w:tcPr>
            <w:tcW w:type="dxa" w:w="1100"/>
            <w:tcBorders>
              <w:start w:sz="3.4398930072784424" w:val="single" w:color="#82B366"/>
              <w:bottom w:sz="3.4398930072784424" w:val="single" w:color="#D69B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reference solution:</w:t>
            </w:r>
          </w:p>
        </w:tc>
        <w:tc>
          <w:tcPr>
            <w:tcW w:type="dxa" w:w="1449"/>
            <w:vMerge/>
            <w:tcBorders>
              <w:top w:sz="3.4398930072784424" w:val="single" w:color="#B85350"/>
              <w:bottom w:sz="3.4398930072784424" w:val="single" w:color="#D69B00"/>
            </w:tcBorders>
          </w:tcPr>
          <w:p/>
        </w:tc>
        <w:tc>
          <w:tcPr>
            <w:tcW w:type="dxa" w:w="1682"/>
            <w:tcBorders>
              <w:end w:sz="3.4398930072784424" w:val="single" w:color="#82B366"/>
              <w:bottom w:sz="3.4398930072784424" w:val="single" w:color="#D69B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366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2"/>
              </w:rPr>
              <w:t xml:space="preserve">Local </w:t>
            </w:r>
          </w:p>
        </w:tc>
        <w:tc>
          <w:tcPr>
            <w:tcW w:type="dxa" w:w="2992"/>
            <w:gridSpan w:val="2"/>
            <w:tcBorders>
              <w:start w:sz="3.4398930072784424" w:val="single" w:color="#82B366"/>
              <w:bottom w:sz="3.4398930072784424" w:val="single" w:color="#D69B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reference solution:</w:t>
            </w:r>
          </w:p>
        </w:tc>
      </w:tr>
      <w:tr>
        <w:trPr>
          <w:trHeight w:hRule="exact" w:val="137"/>
        </w:trPr>
        <w:tc>
          <w:tcPr>
            <w:tcW w:type="dxa" w:w="1510"/>
            <w:tcBorders>
              <w:top w:sz="3.4398930072784424" w:val="single" w:color="#D69B00"/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26" w:right="0" w:firstLine="0"/>
              <w:jc w:val="left"/>
            </w:pPr>
            <w:r>
              <w:rPr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Object Store and </w:t>
            </w:r>
          </w:p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23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reference solution:</w:t>
            </w:r>
          </w:p>
        </w:tc>
        <w:tc>
          <w:tcPr>
            <w:tcW w:type="dxa" w:w="1100"/>
            <w:tcBorders>
              <w:start w:sz="3.4398930072784424" w:val="single" w:color="#82B366"/>
              <w:top w:sz="3.4398930072784424" w:val="single" w:color="#D69B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C D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 E F</w:t>
            </w:r>
          </w:p>
        </w:tc>
        <w:tc>
          <w:tcPr>
            <w:tcW w:type="dxa" w:w="1560"/>
            <w:vMerge w:val="restart"/>
            <w:tcBorders>
              <w:top w:sz="3.4398930072784424" w:val="single" w:color="#D69B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43.9999999999998" w:type="dxa"/>
            </w:tblPr>
            <w:tblGrid>
              <w:gridCol w:w="780"/>
              <w:gridCol w:w="780"/>
            </w:tblGrid>
            <w:tr>
              <w:trPr>
                <w:trHeight w:hRule="exact" w:val="82"/>
              </w:trPr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76"/>
                  <w:tcBorders>
                    <w:top w:sz="3.4398930072784424" w:val="single" w:color="#D69B00"/>
                    <w:bottom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36"/>
              </w:trPr>
              <w:tc>
                <w:tcPr>
                  <w:tcW w:type="dxa" w:w="86"/>
                  <w:tcBorders>
                    <w:start w:sz="3.4398930072784424" w:val="single" w:color="#D69B00"/>
                    <w:end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76"/>
                  <w:tcBorders>
                    <w:start w:sz="3.4398930072784424" w:val="single" w:color="#D69B00"/>
                    <w:top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objective function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86.0000000000002" w:type="dxa"/>
            </w:tblPr>
            <w:tblGrid>
              <w:gridCol w:w="780"/>
              <w:gridCol w:w="780"/>
            </w:tblGrid>
            <w:tr>
              <w:trPr>
                <w:trHeight w:hRule="exact" w:val="632"/>
              </w:trPr>
              <w:tc>
                <w:tcPr>
                  <w:tcW w:type="dxa" w:w="976"/>
                  <w:tcBorders>
                    <w:end w:sz="3.4398930072784424" w:val="single" w:color="#D69B00"/>
                    <w:bottom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0" w:after="0"/>
                    <w:ind w:left="0" w:right="144" w:firstLine="0"/>
                    <w:jc w:val="center"/>
                  </w:pPr>
                  <w:r>
                    <w:rPr>
                      <w:w w:val="98.27958515712193"/>
                      <w:rFonts w:ascii="Times New Roman" w:hAnsi="Times New Roman" w:eastAsia="Times New Roman"/>
                      <w:b w:val="0"/>
                      <w:i/>
                      <w:color w:val="000000"/>
                      <w:sz w:val="14"/>
                    </w:rPr>
                    <w:t xml:space="preserve">FITNESS </w:t>
                  </w:r>
                  <w:r>
                    <w:br/>
                  </w:r>
                  <w:r>
                    <w:rPr>
                      <w:w w:val="98.27958515712193"/>
                      <w:rFonts w:ascii="Times New Roman" w:hAnsi="Times New Roman" w:eastAsia="Times New Roman"/>
                      <w:b w:val="0"/>
                      <w:i/>
                      <w:color w:val="000000"/>
                      <w:sz w:val="14"/>
                    </w:rPr>
                    <w:t>EVALUATOR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44" w:after="0"/>
                    <w:ind w:left="86" w:right="288" w:hanging="12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12"/>
                    </w:rPr>
                    <w:t xml:space="preserve">Complex /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12"/>
                    </w:rPr>
                    <w:t xml:space="preserve">expensive </w:t>
                  </w:r>
                </w:p>
              </w:tc>
              <w:tc>
                <w:tcPr>
                  <w:tcW w:type="dxa" w:w="86"/>
                  <w:tcBorders>
                    <w:start w:sz="3.4398930072784424" w:val="single" w:color="#D69B00"/>
                    <w:end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6"/>
              </w:trPr>
              <w:tc>
                <w:tcPr>
                  <w:tcW w:type="dxa" w:w="976"/>
                  <w:tcBorders>
                    <w:top w:sz="3.4398930072784424" w:val="single" w:color="#D69B00"/>
                    <w:bottom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682"/>
            <w:tcBorders>
              <w:top w:sz="3.4398930072784424" w:val="single" w:color="#D69B00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7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reference solution:</w:t>
            </w:r>
          </w:p>
        </w:tc>
        <w:tc>
          <w:tcPr>
            <w:tcW w:type="dxa" w:w="1100"/>
            <w:tcBorders>
              <w:start w:sz="3.4398930072784424" w:val="single" w:color="#82B366"/>
              <w:top w:sz="3.4398930072784424" w:val="single" w:color="#D69B00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C D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E F</w:t>
            </w:r>
          </w:p>
        </w:tc>
        <w:tc>
          <w:tcPr>
            <w:tcW w:type="dxa" w:w="1892"/>
            <w:vMerge w:val="restart"/>
            <w:tcBorders>
              <w:start w:sz="3.4398930072784424" w:val="single" w:color="#6B8EBE"/>
              <w:top w:sz="3.4398930072784424" w:val="single" w:color="#D69B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40.0" w:type="dxa"/>
            </w:tblPr>
            <w:tblGrid>
              <w:gridCol w:w="946"/>
              <w:gridCol w:w="946"/>
            </w:tblGrid>
            <w:tr>
              <w:trPr>
                <w:trHeight w:hRule="exact" w:val="82"/>
              </w:trPr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76"/>
                  <w:tcBorders>
                    <w:top w:sz="3.4398930072784424" w:val="single" w:color="#D69B00"/>
                    <w:bottom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36"/>
              </w:trPr>
              <w:tc>
                <w:tcPr>
                  <w:tcW w:type="dxa" w:w="86"/>
                  <w:tcBorders>
                    <w:start w:sz="3.4398930072784424" w:val="single" w:color="#D69B00"/>
                    <w:end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76"/>
                  <w:tcBorders>
                    <w:start w:sz="3.4398930072784424" w:val="single" w:color="#D69B00"/>
                    <w:top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33" w:lineRule="auto" w:before="48" w:after="0"/>
              <w:ind w:left="37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objective function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81.9999999999993" w:type="dxa"/>
            </w:tblPr>
            <w:tblGrid>
              <w:gridCol w:w="946"/>
              <w:gridCol w:w="946"/>
            </w:tblGrid>
            <w:tr>
              <w:trPr>
                <w:trHeight w:hRule="exact" w:val="632"/>
              </w:trPr>
              <w:tc>
                <w:tcPr>
                  <w:tcW w:type="dxa" w:w="976"/>
                  <w:tcBorders>
                    <w:end w:sz="3.4398930072784424" w:val="single" w:color="#D69B00"/>
                    <w:bottom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0" w:after="0"/>
                    <w:ind w:left="0" w:right="144" w:firstLine="0"/>
                    <w:jc w:val="center"/>
                  </w:pPr>
                  <w:r>
                    <w:rPr>
                      <w:w w:val="98.27958515712193"/>
                      <w:rFonts w:ascii="Times New Roman" w:hAnsi="Times New Roman" w:eastAsia="Times New Roman"/>
                      <w:b w:val="0"/>
                      <w:i/>
                      <w:color w:val="000000"/>
                      <w:sz w:val="14"/>
                    </w:rPr>
                    <w:t xml:space="preserve">FITNESS </w:t>
                  </w:r>
                  <w:r>
                    <w:br/>
                  </w:r>
                  <w:r>
                    <w:rPr>
                      <w:w w:val="98.27958515712193"/>
                      <w:rFonts w:ascii="Times New Roman" w:hAnsi="Times New Roman" w:eastAsia="Times New Roman"/>
                      <w:b w:val="0"/>
                      <w:i/>
                      <w:color w:val="000000"/>
                      <w:sz w:val="14"/>
                    </w:rPr>
                    <w:t>EVALUATOR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44" w:after="0"/>
                    <w:ind w:left="86" w:right="288" w:hanging="12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12"/>
                    </w:rPr>
                    <w:t xml:space="preserve">Complex /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12"/>
                    </w:rPr>
                    <w:t xml:space="preserve">expensive </w:t>
                  </w:r>
                </w:p>
              </w:tc>
              <w:tc>
                <w:tcPr>
                  <w:tcW w:type="dxa" w:w="86"/>
                  <w:tcBorders>
                    <w:start w:sz="3.4398930072784424" w:val="single" w:color="#D69B00"/>
                    <w:end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6"/>
              </w:trPr>
              <w:tc>
                <w:tcPr>
                  <w:tcW w:type="dxa" w:w="976"/>
                  <w:tcBorders>
                    <w:top w:sz="3.4398930072784424" w:val="single" w:color="#D69B00"/>
                    <w:bottom w:sz="3.4398930072784424" w:val="single" w:color="#D69B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"/>
        </w:trPr>
        <w:tc>
          <w:tcPr>
            <w:tcW w:type="dxa" w:w="1510"/>
            <w:vMerge w:val="restart"/>
            <w:tcBorders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246" w:right="0" w:firstLine="0"/>
              <w:jc w:val="left"/>
            </w:pPr>
            <w:r>
              <w:rPr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>Communication</w:t>
            </w:r>
          </w:p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100"/>
            <w:vMerge w:val="restart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Complete solutions </w:t>
            </w:r>
          </w:p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682"/>
            <w:vMerge w:val="restart"/>
            <w:tcBorders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424" w:firstLine="0"/>
              <w:jc w:val="right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E F</w:t>
            </w:r>
          </w:p>
        </w:tc>
        <w:tc>
          <w:tcPr>
            <w:tcW w:type="dxa" w:w="1100"/>
            <w:vMerge w:val="restart"/>
            <w:tcBorders>
              <w:start w:sz="3.4398930072784424" w:val="single" w:color="#82B366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Complete solutions </w:t>
            </w:r>
          </w:p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106"/>
        </w:trPr>
        <w:tc>
          <w:tcPr>
            <w:tcW w:type="dxa" w:w="1449"/>
            <w:vMerge/>
            <w:tcBorders>
              <w:end w:sz="3.4398932456970215" w:val="single" w:color="#666666"/>
            </w:tcBorders>
          </w:tcPr>
          <w:p/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0" w:right="414" w:firstLine="0"/>
              <w:jc w:val="right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C D</w:t>
            </w:r>
          </w:p>
        </w:tc>
        <w:tc>
          <w:tcPr>
            <w:tcW w:type="dxa" w:w="1449"/>
            <w:vMerge/>
            <w:tcBorders>
              <w:start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end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82B366"/>
              <w:end w:sz="3.4398930072784424" w:val="single" w:color="#6B8EBE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58"/>
        </w:trPr>
        <w:tc>
          <w:tcPr>
            <w:tcW w:type="dxa" w:w="1510"/>
            <w:vMerge w:val="restart"/>
            <w:tcBorders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676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>array</w:t>
            </w:r>
          </w:p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end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82B366"/>
              <w:end w:sz="3.4398930072784424" w:val="single" w:color="#6B8EBE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160"/>
        </w:trPr>
        <w:tc>
          <w:tcPr>
            <w:tcW w:type="dxa" w:w="1449"/>
            <w:vMerge/>
            <w:tcBorders>
              <w:end w:sz="3.4398932456970215" w:val="single" w:color="#666666"/>
            </w:tcBorders>
          </w:tcPr>
          <w:p/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8" w:after="0"/>
              <w:ind w:left="21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Candidate samples:</w:t>
            </w:r>
          </w:p>
        </w:tc>
        <w:tc>
          <w:tcPr>
            <w:tcW w:type="dxa" w:w="1100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ready for</w:t>
            </w:r>
          </w:p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682"/>
            <w:vMerge w:val="restart"/>
            <w:tcBorders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8" w:after="0"/>
              <w:ind w:left="0" w:right="6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Candidate samples:</w:t>
            </w:r>
          </w:p>
        </w:tc>
        <w:tc>
          <w:tcPr>
            <w:tcW w:type="dxa" w:w="1100"/>
            <w:tcBorders>
              <w:start w:sz="3.4398930072784424" w:val="single" w:color="#82B366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ready for</w:t>
            </w:r>
          </w:p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140"/>
        </w:trPr>
        <w:tc>
          <w:tcPr>
            <w:tcW w:type="dxa" w:w="1510"/>
            <w:vMerge w:val="restart"/>
            <w:tcBorders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614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Global</w:t>
            </w:r>
          </w:p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100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evaluation:</w:t>
            </w:r>
          </w:p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end w:sz="3.4398930072784424" w:val="single" w:color="#82B366"/>
            </w:tcBorders>
          </w:tcPr>
          <w:p/>
        </w:tc>
        <w:tc>
          <w:tcPr>
            <w:tcW w:type="dxa" w:w="1100"/>
            <w:tcBorders>
              <w:start w:sz="3.4398930072784424" w:val="single" w:color="#82B366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evaluation:</w:t>
            </w:r>
          </w:p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84"/>
        </w:trPr>
        <w:tc>
          <w:tcPr>
            <w:tcW w:type="dxa" w:w="1449"/>
            <w:vMerge/>
            <w:tcBorders>
              <w:end w:sz="3.4398932456970215" w:val="single" w:color="#666666"/>
            </w:tcBorders>
          </w:tcPr>
          <w:p/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380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X X </w:t>
            </w:r>
          </w:p>
        </w:tc>
        <w:tc>
          <w:tcPr>
            <w:tcW w:type="dxa" w:w="1100"/>
            <w:vMerge w:val="restart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X X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 E F</w:t>
            </w:r>
            <w:r>
              <w:rPr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682"/>
            <w:vMerge w:val="restart"/>
            <w:tcBorders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390" w:firstLine="0"/>
              <w:jc w:val="right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P T</w:t>
            </w: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100"/>
            <w:vMerge w:val="restart"/>
            <w:tcBorders>
              <w:start w:sz="3.4398930072784424" w:val="single" w:color="#82B366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C D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P T</w:t>
            </w: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76"/>
        </w:trPr>
        <w:tc>
          <w:tcPr>
            <w:tcW w:type="dxa" w:w="1510"/>
            <w:vMerge w:val="restart"/>
            <w:tcBorders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80" w:right="0" w:firstLine="0"/>
              <w:jc w:val="left"/>
            </w:pPr>
            <w:r>
              <w:rPr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>reference solution:</w:t>
            </w:r>
          </w:p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end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82B366"/>
              <w:end w:sz="3.4398930072784424" w:val="single" w:color="#6B8EBE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78"/>
        </w:trPr>
        <w:tc>
          <w:tcPr>
            <w:tcW w:type="dxa" w:w="1449"/>
            <w:vMerge/>
            <w:tcBorders>
              <w:end w:sz="3.4398932456970215" w:val="single" w:color="#666666"/>
            </w:tcBorders>
          </w:tcPr>
          <w:p/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384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Y Z </w:t>
            </w:r>
          </w:p>
        </w:tc>
        <w:tc>
          <w:tcPr>
            <w:tcW w:type="dxa" w:w="1449"/>
            <w:vMerge/>
            <w:tcBorders>
              <w:start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682"/>
            <w:vMerge w:val="restart"/>
            <w:tcBorders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398" w:firstLine="0"/>
              <w:jc w:val="right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S P</w:t>
            </w: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449"/>
            <w:vMerge/>
            <w:tcBorders>
              <w:start w:sz="3.4398930072784424" w:val="single" w:color="#82B366"/>
              <w:end w:sz="3.4398930072784424" w:val="single" w:color="#6B8EBE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82"/>
        </w:trPr>
        <w:tc>
          <w:tcPr>
            <w:tcW w:type="dxa" w:w="1510"/>
            <w:vMerge w:val="restart"/>
            <w:tcBorders>
              <w:end w:sz="3.4398932456970215" w:val="single" w:color="#6666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324" w:right="0" w:firstLine="0"/>
              <w:jc w:val="left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A B C D E F</w:t>
            </w:r>
          </w:p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100"/>
            <w:vMerge w:val="restart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Y Z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 E F</w:t>
            </w:r>
            <w:r>
              <w:rPr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end w:sz="3.4398930072784424" w:val="single" w:color="#82B366"/>
            </w:tcBorders>
          </w:tcPr>
          <w:p/>
        </w:tc>
        <w:tc>
          <w:tcPr>
            <w:tcW w:type="dxa" w:w="1100"/>
            <w:vMerge w:val="restart"/>
            <w:tcBorders>
              <w:start w:sz="3.4398930072784424" w:val="single" w:color="#82B366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C D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S P</w:t>
            </w: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60"/>
        </w:trPr>
        <w:tc>
          <w:tcPr>
            <w:tcW w:type="dxa" w:w="1449"/>
            <w:vMerge/>
            <w:tcBorders>
              <w:end w:sz="3.4398932456970215" w:val="single" w:color="#666666"/>
            </w:tcBorders>
          </w:tcPr>
          <w:p/>
        </w:tc>
        <w:tc>
          <w:tcPr>
            <w:tcW w:type="dxa" w:w="1222"/>
            <w:vMerge w:val="restart"/>
            <w:tcBorders>
              <w:start w:sz="3.4398932456970215" w:val="single" w:color="#666666"/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380" w:firstLine="0"/>
              <w:jc w:val="right"/>
            </w:pP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Y Y </w:t>
            </w:r>
          </w:p>
        </w:tc>
        <w:tc>
          <w:tcPr>
            <w:tcW w:type="dxa" w:w="1449"/>
            <w:vMerge/>
            <w:tcBorders>
              <w:start w:sz="3.4398930072784424" w:val="single" w:color="#82B366"/>
            </w:tcBorders>
          </w:tcPr>
          <w:p/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682"/>
            <w:vMerge w:val="restart"/>
            <w:tcBorders>
              <w:end w:sz="3.4398930072784424" w:val="single" w:color="#82B3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382" w:firstLine="0"/>
              <w:jc w:val="right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R T</w:t>
            </w:r>
            <w:r>
              <w:rPr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1449"/>
            <w:vMerge/>
            <w:tcBorders>
              <w:start w:sz="3.4398930072784424" w:val="single" w:color="#82B366"/>
              <w:end w:sz="3.4398930072784424" w:val="single" w:color="#6B8EBE"/>
            </w:tcBorders>
          </w:tcPr>
          <w:p/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  <w:tr>
        <w:trPr>
          <w:trHeight w:hRule="exact" w:val="322"/>
        </w:trPr>
        <w:tc>
          <w:tcPr>
            <w:tcW w:type="dxa" w:w="1449"/>
            <w:vMerge/>
            <w:tcBorders>
              <w:end w:sz="3.4398932456970215" w:val="single" w:color="#666666"/>
            </w:tcBorders>
          </w:tcPr>
          <w:p/>
        </w:tc>
        <w:tc>
          <w:tcPr>
            <w:tcW w:type="dxa" w:w="1449"/>
            <w:vMerge/>
            <w:tcBorders>
              <w:start w:sz="3.4398932456970215" w:val="single" w:color="#666666"/>
              <w:end w:sz="3.4398930072784424" w:val="single" w:color="#82B366"/>
            </w:tcBorders>
          </w:tcPr>
          <w:p/>
        </w:tc>
        <w:tc>
          <w:tcPr>
            <w:tcW w:type="dxa" w:w="1100"/>
            <w:tcBorders>
              <w:start w:sz="3.4398930072784424" w:val="single" w:color="#82B36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Y Y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 E F</w:t>
            </w:r>
          </w:p>
        </w:tc>
        <w:tc>
          <w:tcPr>
            <w:tcW w:type="dxa" w:w="1449"/>
            <w:vMerge/>
            <w:tcBorders>
              <w:top w:sz="3.4398930072784424" w:val="single" w:color="#D69B00"/>
            </w:tcBorders>
          </w:tcPr>
          <w:p/>
        </w:tc>
        <w:tc>
          <w:tcPr>
            <w:tcW w:type="dxa" w:w="1449"/>
            <w:vMerge/>
            <w:tcBorders>
              <w:end w:sz="3.4398930072784424" w:val="single" w:color="#82B366"/>
            </w:tcBorders>
          </w:tcPr>
          <w:p/>
        </w:tc>
        <w:tc>
          <w:tcPr>
            <w:tcW w:type="dxa" w:w="1100"/>
            <w:tcBorders>
              <w:start w:sz="3.4398930072784424" w:val="single" w:color="#82B366"/>
              <w:end w:sz="3.4398930072784424" w:val="single" w:color="#6B8EB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 w:val="0"/>
                <w:i w:val="0"/>
                <w:color w:val="000000"/>
                <w:sz w:val="14"/>
              </w:rPr>
              <w:t xml:space="preserve">A B C D </w:t>
            </w:r>
            <w:r>
              <w:rPr>
                <w:shd w:val="clear" w:color="auto" w:fill="f8f9f9"/>
                <w:w w:val="98.27958515712193"/>
                <w:rFonts w:ascii="Times New Roman" w:hAnsi="Times New Roman" w:eastAsia="Times New Roman"/>
                <w:b/>
                <w:i w:val="0"/>
                <w:color w:val="000000"/>
                <w:sz w:val="14"/>
              </w:rPr>
              <w:t>R T</w:t>
            </w:r>
          </w:p>
        </w:tc>
        <w:tc>
          <w:tcPr>
            <w:tcW w:type="dxa" w:w="1449"/>
            <w:vMerge/>
            <w:tcBorders>
              <w:start w:sz="3.4398930072784424" w:val="single" w:color="#6B8EBE"/>
              <w:top w:sz="3.4398930072784424" w:val="single" w:color="#D69B00"/>
            </w:tcBorders>
          </w:tcPr>
          <w:p/>
        </w:tc>
      </w:tr>
    </w:tbl>
    <w:p>
      <w:pPr>
        <w:autoSpaceDN w:val="0"/>
        <w:autoSpaceDE w:val="0"/>
        <w:widowControl/>
        <w:spacing w:line="220" w:lineRule="exact" w:before="254" w:after="284"/>
        <w:ind w:left="6" w:right="46" w:firstLine="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Figure 1: Example architecture of DiBB as a framework. This is a sample instantiation on a cluster with 3 nodes: one acts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as the head node, running the main routine, while two worker nodes encapsulate the underlying BBO and host the pools of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Fitness Evaluators. This schema highlights how DiBB leverages Partial Separability in the construction of full samples ready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for evaluation, and how the (potentially expensive) objective function is evaluated locally on the worker nodes.</w:t>
      </w:r>
    </w:p>
    <w:p>
      <w:pPr>
        <w:sectPr>
          <w:pgSz w:w="12240" w:h="15840"/>
          <w:pgMar w:top="610" w:right="1026" w:bottom="106" w:left="1070" w:header="720" w:footer="720" w:gutter="0"/>
          <w:cols w:space="720" w:num="1" w:equalWidth="0"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tabs>
          <w:tab w:pos="336" w:val="left"/>
        </w:tabs>
        <w:autoSpaceDE w:val="0"/>
        <w:widowControl/>
        <w:spacing w:line="294" w:lineRule="exact" w:before="0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2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A PRIMER ON EVOLUTION STRATEGIES</w:t>
      </w:r>
    </w:p>
    <w:p>
      <w:pPr>
        <w:autoSpaceDN w:val="0"/>
        <w:autoSpaceDE w:val="0"/>
        <w:widowControl/>
        <w:spacing w:line="220" w:lineRule="exact" w:before="28" w:after="0"/>
        <w:ind w:left="6" w:right="0" w:firstLine="0"/>
        <w:jc w:val="left"/>
      </w:pPr>
      <w:r>
        <w:rPr>
          <w:w w:val="98.77180523342557"/>
          <w:rFonts w:ascii="LinLibertineT" w:hAnsi="LinLibertineT" w:eastAsia="LinLibertineT"/>
          <w:b w:val="0"/>
          <w:i w:val="0"/>
          <w:color w:val="000000"/>
          <w:sz w:val="18"/>
        </w:rPr>
        <w:t xml:space="preserve">DiBB can be applied to any BBO algorithm to great and immediate 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 xml:space="preserve">advantage: even with methods that already treat the parameters as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separable, DiBB provides a parallel and distributed implementation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at the only cost of minimal overhead (for nontrivial applications).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this section however, we highlight modern Evolution Strategies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as the state-of-the-art family of continuous black-box optimiza-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tion methods, which we expect to gain the most from this new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approach. The rationale here is that these methods have proven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and popularized the importance of maintaining covariance infor-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mation for search performance, and are thus best positioned to gain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from DiBB’s scalability into distributed computation. This choice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however should not be interpreted as limited to neuroevolution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applications, as DiBB users can adapt the partitioning of variables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into blocks depending on each problem at hand.</w:t>
      </w:r>
    </w:p>
    <w:p>
      <w:pPr>
        <w:autoSpaceDN w:val="0"/>
        <w:autoSpaceDE w:val="0"/>
        <w:widowControl/>
        <w:spacing w:line="282" w:lineRule="exact" w:before="0" w:after="0"/>
        <w:ind w:left="0" w:right="0" w:firstLine="200"/>
        <w:jc w:val="left"/>
      </w:pP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>ES are direct search methods, which optimize a black-box objec-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adaptive Gaussian distribution. We briefly review the types of 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tive function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𝑓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: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rFonts w:ascii="txsys" w:hAnsi="txsys" w:eastAsia="txsys"/>
          <w:b w:val="0"/>
          <w:i w:val="0"/>
          <w:color w:val="000000"/>
          <w:sz w:val="18"/>
        </w:rPr>
        <w:t>→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by sampling candidate points from an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most relevant for our discussion. The classic variant is the (1+1)-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26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]. Its central algorithmic mechanism is step-size adaptation,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i.e. its ability to actively adapt the standard deviation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𝜎</w:t>
      </w:r>
      <w:r>
        <w:rPr>
          <w:rFonts w:ascii="NewTXMI" w:hAnsi="NewTXMI" w:eastAsia="NewTXMI"/>
          <w:b w:val="0"/>
          <w:i/>
          <w:color w:val="000000"/>
          <w:sz w:val="18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0 of its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Gaussian sampling distribution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N (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𝑚, 𝜎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𝐼</w:t>
      </w:r>
      <w:r>
        <w:rPr>
          <w:rFonts w:ascii="txsys" w:hAnsi="txsys" w:eastAsia="txsys"/>
          <w:b w:val="0"/>
          <w:i w:val="0"/>
          <w:color w:val="000000"/>
          <w:sz w:val="18"/>
        </w:rPr>
        <w:t>)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to the current needs. For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last 20 years, CMA-ES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18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 has been the gold standard in ES </w:t>
      </w:r>
      <w:r>
        <w:rPr>
          <w:w w:val="98.72154659695096"/>
          <w:rFonts w:ascii="LinLibertineT" w:hAnsi="LinLibertineT" w:eastAsia="LinLibertineT"/>
          <w:b w:val="0"/>
          <w:i w:val="0"/>
          <w:color w:val="000000"/>
          <w:sz w:val="18"/>
        </w:rPr>
        <w:t xml:space="preserve">research. Many variants exist, such as Natural Evolution Strategies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(NES; Wierstra et al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 34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). Its most important mechanism going be-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yond “simple” step-size adaptive ES is covariance matrix adaptation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(CMA), which means that not only the global step size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𝜎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, but also </w:t>
      </w:r>
      <w:r>
        <w:rPr>
          <w:w w:val="98.87222713894315"/>
          <w:rFonts w:ascii="LinLibertineT" w:hAnsi="LinLibertineT" w:eastAsia="LinLibertineT"/>
          <w:b w:val="0"/>
          <w:i w:val="0"/>
          <w:color w:val="000000"/>
          <w:sz w:val="18"/>
        </w:rPr>
        <w:t>the full covariance matrix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𝐶</w:t>
      </w:r>
      <w:r>
        <w:rPr>
          <w:w w:val="98.87222713894315"/>
          <w:rFonts w:ascii="LinLibertineT" w:hAnsi="LinLibertineT" w:eastAsia="LinLibertineT"/>
          <w:b w:val="0"/>
          <w:i w:val="0"/>
          <w:color w:val="000000"/>
          <w:sz w:val="18"/>
        </w:rPr>
        <w:t xml:space="preserve"> of the Gaussian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N (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𝑚, 𝜎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𝐶</w:t>
      </w:r>
      <w:r>
        <w:rPr>
          <w:rFonts w:ascii="txsys" w:hAnsi="txsys" w:eastAsia="txsys"/>
          <w:b w:val="0"/>
          <w:i w:val="0"/>
          <w:color w:val="000000"/>
          <w:sz w:val="18"/>
        </w:rPr>
        <w:t>)</w:t>
      </w:r>
      <w:r>
        <w:rPr>
          <w:w w:val="98.87222713894315"/>
          <w:rFonts w:ascii="LinLibertineT" w:hAnsi="LinLibertineT" w:eastAsia="LinLibertineT"/>
          <w:b w:val="0"/>
          <w:i w:val="0"/>
          <w:color w:val="000000"/>
          <w:sz w:val="18"/>
        </w:rPr>
        <w:t xml:space="preserve"> is adapted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the problem at hand.</w:t>
      </w:r>
    </w:p>
    <w:p>
      <w:pPr>
        <w:autoSpaceDN w:val="0"/>
        <w:tabs>
          <w:tab w:pos="206" w:val="left"/>
          <w:tab w:pos="4532" w:val="left"/>
        </w:tabs>
        <w:autoSpaceDE w:val="0"/>
        <w:widowControl/>
        <w:spacing w:line="224" w:lineRule="exact" w:before="24" w:after="0"/>
        <w:ind w:left="2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CMA-ES is a powerful optimizer; however, it was not designed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 high-dimensional applications with hundreds of thousands of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variables or more. Its internal parameters are not tuned with such a </w:t>
      </w:r>
      <w:r>
        <w:tab/>
      </w:r>
      <w:r>
        <w:rPr>
          <w:w w:val="96.97333017985027"/>
          <w:rFonts w:ascii="LinLibertineT" w:hAnsi="LinLibertineT" w:eastAsia="LinLibertineT"/>
          <w:b w:val="0"/>
          <w:i w:val="0"/>
          <w:strike/>
          <w:color w:val="000000"/>
          <w:sz w:val="15"/>
        </w:rPr>
        <w:t xml:space="preserve">2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regime in mind, and learning a full covariance matrix with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w w:val="96.97333017985027"/>
          <w:rFonts w:ascii="txsys" w:hAnsi="txsys" w:eastAsia="txsys"/>
          <w:b w:val="0"/>
          <w:i w:val="0"/>
          <w:strike/>
          <w:color w:val="000000"/>
          <w:sz w:val="15"/>
        </w:rPr>
        <w:t xml:space="preserve"> (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w w:val="96.97333017985027"/>
          <w:rFonts w:ascii="txsys" w:hAnsi="txsys" w:eastAsia="txsys"/>
          <w:b w:val="0"/>
          <w:i w:val="0"/>
          <w:strike/>
          <w:color w:val="000000"/>
          <w:sz w:val="15"/>
        </w:rPr>
        <w:t>+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7333017985027"/>
          <w:rFonts w:ascii="txsys" w:hAnsi="txsys" w:eastAsia="txsys"/>
          <w:b w:val="0"/>
          <w:i w:val="0"/>
          <w:strike/>
          <w:color w:val="000000"/>
          <w:sz w:val="15"/>
        </w:rPr>
        <w:t xml:space="preserve">)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parameters is inherently slow. Such problems are commonly ad-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dressed by placing specific restrictions on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𝐶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 such as being repre-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sented by a diagonal matrix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29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], or a diagonal plus a low-rank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matrix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22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23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], or a block-diagonal matrix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]. The number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parameters of the covariance matrix can hence be chosen flexibly</w:t>
      </w:r>
    </w:p>
    <w:p>
      <w:pPr>
        <w:sectPr>
          <w:type w:val="continuous"/>
          <w:pgSz w:w="12240" w:h="15840"/>
          <w:pgMar w:top="610" w:right="1026" w:bottom="106" w:left="1070" w:header="720" w:footer="720" w:gutter="0"/>
          <w:cols w:space="720" w:num="2" w:equalWidth="0"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343</w:t>
      </w:r>
    </w:p>
    <w:p>
      <w:pPr>
        <w:sectPr>
          <w:type w:val="nextColumn"/>
          <w:pgSz w:w="12240" w:h="15840"/>
          <w:pgMar w:top="610" w:right="1026" w:bottom="106" w:left="1070" w:header="720" w:footer="720" w:gutter="0"/>
          <w:cols w:space="720" w:num="2" w:equalWidth="0"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tabs>
          <w:tab w:pos="9388" w:val="left"/>
        </w:tabs>
        <w:autoSpaceDE w:val="0"/>
        <w:widowControl/>
        <w:spacing w:line="162" w:lineRule="exact" w:before="0" w:after="288"/>
        <w:ind w:left="8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GECCO ’22, July 9–13,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Cuccu, et al.</w:t>
      </w:r>
    </w:p>
    <w:p>
      <w:pPr>
        <w:sectPr>
          <w:pgSz w:w="12240" w:h="15840"/>
          <w:pgMar w:top="610" w:right="1012" w:bottom="106" w:left="1068" w:header="720" w:footer="720" w:gutter="0"/>
          <w:cols w:space="720" w:num="1" w:equalWidth="0"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30" w:after="0"/>
        <w:ind w:left="8" w:right="7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OpenAI-ES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28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], while being highly distributable, features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neither step-size adaptation nor covariance adaptation. Based on the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NES framework of Wierstra et al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 [34]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, it leverages the ability of ES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to estimate the natural gradient of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𝑓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from samples, and then applies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ADAM optimizer on top. In effect, this is roughly comparable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using a diagonal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𝐶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40" w:after="0"/>
        <w:ind w:left="0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CMA has a price in terms of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algorithm internal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complexity,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addition the adaptation process is slow even in terms of sample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complexity—due to large hidden constants in its performance es-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timation. The above convergence rates measure time in terms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number of objective function evaluations (sample complexity).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When scaling up CMA to high dimensions however, we need to 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 xml:space="preserve">take the following concepts into consideration. Algorithm internal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complexity refers to the required (amortized) number of operations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needed for creating a sample and for updating the internal state—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the covariance matrix in particular. This concept will be re-explored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later when introducing distributed computing, as DiBB employs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multiple machines to evaluate proportionally more samples without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impacting wall-clock time. For now, regarding sample complexity,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we distinguish between the number of samples needed to learn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covariance matrix, and the number of samples needed to solve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problem.</w:t>
      </w:r>
    </w:p>
    <w:p>
      <w:pPr>
        <w:autoSpaceDN w:val="0"/>
        <w:autoSpaceDE w:val="0"/>
        <w:widowControl/>
        <w:spacing w:line="274" w:lineRule="exact" w:before="0" w:after="0"/>
        <w:ind w:left="0" w:right="0" w:firstLine="0"/>
        <w:jc w:val="center"/>
      </w:pP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For example, a (small) neural network with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txmiaX" w:hAnsi="txmiaX" w:eastAsia="txmiaX"/>
          <w:b w:val="0"/>
          <w:i w:val="0"/>
          <w:color w:val="000000"/>
          <w:sz w:val="18"/>
        </w:rPr>
        <w:t xml:space="preserve"> =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10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4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weights results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Learning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𝐶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with up to</w:t>
      </w:r>
      <w:r>
        <w:rPr>
          <w:rFonts w:ascii="LibertineMathRM" w:hAnsi="LibertineMathRM" w:eastAsia="LibertineMathRM"/>
          <w:b w:val="0"/>
          <w:i w:val="0"/>
          <w:color w:val="000000"/>
          <w:sz w:val="18"/>
        </w:rPr>
        <w:t xml:space="preserve"> Θ</w:t>
      </w:r>
      <w:r>
        <w:rPr>
          <w:rFonts w:ascii="txsys" w:hAnsi="txsys" w:eastAsia="txsys"/>
          <w:b w:val="0"/>
          <w:i w:val="0"/>
          <w:color w:val="000000"/>
          <w:sz w:val="18"/>
        </w:rPr>
        <w:t>(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𝑑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txsys" w:hAnsi="txsys" w:eastAsia="txsys"/>
          <w:b w:val="0"/>
          <w:i w:val="0"/>
          <w:color w:val="000000"/>
          <w:sz w:val="18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parameters is sample-inefficient.</w:t>
      </w:r>
    </w:p>
    <w:p>
      <w:pPr>
        <w:autoSpaceDN w:val="0"/>
        <w:tabs>
          <w:tab w:pos="410" w:val="left"/>
          <w:tab w:pos="740" w:val="left"/>
        </w:tabs>
        <w:autoSpaceDE w:val="0"/>
        <w:widowControl/>
        <w:spacing w:line="300" w:lineRule="exact" w:before="0" w:after="0"/>
        <w:ind w:left="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in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w w:val="96.97333017985027"/>
          <w:rFonts w:ascii="txsys" w:hAnsi="txsys" w:eastAsia="txsys"/>
          <w:b w:val="0"/>
          <w:i w:val="0"/>
          <w:strike/>
          <w:color w:val="000000"/>
          <w:sz w:val="15"/>
        </w:rPr>
        <w:t xml:space="preserve"> (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w w:val="96.97333017985027"/>
          <w:rFonts w:ascii="txsys" w:hAnsi="txsys" w:eastAsia="txsys"/>
          <w:b w:val="0"/>
          <w:i w:val="0"/>
          <w:strike/>
          <w:color w:val="000000"/>
          <w:sz w:val="15"/>
        </w:rPr>
        <w:t>+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7333017985027"/>
          <w:rFonts w:ascii="txsys" w:hAnsi="txsys" w:eastAsia="txsys"/>
          <w:b w:val="0"/>
          <w:i w:val="0"/>
          <w:strike/>
          <w:color w:val="000000"/>
          <w:sz w:val="15"/>
        </w:rPr>
        <w:t xml:space="preserve">)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these takes hundreds of millions of samples, each of which can be </w:t>
      </w:r>
      <w:r>
        <w:tab/>
      </w:r>
      <w:r>
        <w:rPr>
          <w:w w:val="96.97333017985027"/>
          <w:rFonts w:ascii="LinLibertineT" w:hAnsi="LinLibertineT" w:eastAsia="LinLibertineT"/>
          <w:b w:val="0"/>
          <w:i w:val="0"/>
          <w:strike/>
          <w:color w:val="000000"/>
          <w:sz w:val="15"/>
        </w:rPr>
        <w:t>2</w:t>
      </w:r>
      <w:r>
        <w:tab/>
      </w:r>
      <w:r>
        <w:rPr>
          <w:rFonts w:ascii="txsys" w:hAnsi="txsys" w:eastAsia="txsys"/>
          <w:b w:val="0"/>
          <w:i w:val="0"/>
          <w:color w:val="000000"/>
          <w:sz w:val="18"/>
        </w:rPr>
        <w:t>≈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5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·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10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7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parameters of the covariance matrix. Learning</w:t>
      </w:r>
    </w:p>
    <w:p>
      <w:pPr>
        <w:autoSpaceDN w:val="0"/>
        <w:autoSpaceDE w:val="0"/>
        <w:widowControl/>
        <w:spacing w:line="234" w:lineRule="exact" w:before="14" w:after="0"/>
        <w:ind w:left="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significantly expensive: imagine for example a continuous control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task involving a robot interacting in a physics simulation. This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quickly becomes far too slow for practical use, even without taking </w:t>
      </w:r>
      <w:r>
        <w:rPr>
          <w:w w:val="98.67126676771376"/>
          <w:rFonts w:ascii="LinLibertineT" w:hAnsi="LinLibertineT" w:eastAsia="LinLibertineT"/>
          <w:b w:val="0"/>
          <w:i w:val="0"/>
          <w:color w:val="000000"/>
          <w:sz w:val="18"/>
        </w:rPr>
        <w:t xml:space="preserve">into consideration the (typically expensive) covariance update step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 the underlying algorithm. For larger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, even the storage of the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full covariance matrix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𝐶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quickly becomes prohibitive. Furthermore,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performing computations with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𝐶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scales at least linear with the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number of its parameters, which amounts to an internal complexity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of</w:t>
      </w:r>
      <w:r>
        <w:rPr>
          <w:rFonts w:ascii="LibertineMathRM" w:hAnsi="LibertineMathRM" w:eastAsia="LibertineMathRM"/>
          <w:b w:val="0"/>
          <w:i w:val="0"/>
          <w:color w:val="000000"/>
          <w:sz w:val="18"/>
        </w:rPr>
        <w:t xml:space="preserve"> Ω</w:t>
      </w:r>
      <w:r>
        <w:rPr>
          <w:rFonts w:ascii="txsys" w:hAnsi="txsys" w:eastAsia="txsys"/>
          <w:b w:val="0"/>
          <w:i w:val="0"/>
          <w:color w:val="000000"/>
          <w:sz w:val="18"/>
        </w:rPr>
        <w:t>(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𝑑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txsys" w:hAnsi="txsys" w:eastAsia="txsys"/>
          <w:b w:val="0"/>
          <w:i w:val="0"/>
          <w:color w:val="000000"/>
          <w:sz w:val="18"/>
        </w:rPr>
        <w:t>)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for full CMA. Since network evaluation scales linearly with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the number of weights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𝑑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(in a direct encoding scheme), CMA quickly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becomes the computational bottleneck. Therefore, a different trade-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off between fast convergence and internal complexity is needed,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which can be realized for example with block-diagonal and low-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rank structures, and combinations thereof. Or, in the case of the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proposed work, by leveraging the partial correlation assumption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construct a block-diagonal covariance matrix.</w:t>
      </w:r>
    </w:p>
    <w:p>
      <w:pPr>
        <w:autoSpaceDN w:val="0"/>
        <w:tabs>
          <w:tab w:pos="504" w:val="left"/>
        </w:tabs>
        <w:autoSpaceDE w:val="0"/>
        <w:widowControl/>
        <w:spacing w:line="294" w:lineRule="exact" w:before="298" w:after="0"/>
        <w:ind w:left="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2.3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Implications for Neural Network Training</w:t>
      </w:r>
    </w:p>
    <w:p>
      <w:pPr>
        <w:autoSpaceDN w:val="0"/>
        <w:autoSpaceDE w:val="0"/>
        <w:widowControl/>
        <w:spacing w:line="220" w:lineRule="exact" w:before="28" w:after="0"/>
        <w:ind w:left="8" w:right="0" w:firstLine="0"/>
        <w:jc w:val="left"/>
      </w:pP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Diagonal, block-diagonal, and low-rank schemes successfully lower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both internal and sample costs of CMA significantly (at the expense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of higher sample complexity for solving the overall problem). There-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fore, they are key to the application of modern ES based on CMA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to real-world problems, especially involving expensive physics sim-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ulations as common in reinforcement learning applications.</w:t>
      </w:r>
    </w:p>
    <w:p>
      <w:pPr>
        <w:autoSpaceDN w:val="0"/>
        <w:autoSpaceDE w:val="0"/>
        <w:widowControl/>
        <w:spacing w:line="220" w:lineRule="exact" w:before="28" w:after="0"/>
        <w:ind w:left="8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neural network training, weight spaces are often extremely </w:t>
      </w:r>
      <w:r>
        <w:rPr>
          <w:w w:val="98.67126676771376"/>
          <w:rFonts w:ascii="LinLibertineT" w:hAnsi="LinLibertineT" w:eastAsia="LinLibertineT"/>
          <w:b w:val="0"/>
          <w:i w:val="0"/>
          <w:color w:val="000000"/>
          <w:sz w:val="18"/>
        </w:rPr>
        <w:t>high-dimensional. However, they also come with a canonical struc-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ture, induced by the network topology. Hence, a block-diagonal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covariance structure with one block per layer (or per neuron) is a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natural choice. It should be noted that there exist approaches for 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>identifying a problem decomposition automatically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24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>], if needed,</w:t>
      </w:r>
    </w:p>
    <w:p>
      <w:pPr>
        <w:sectPr>
          <w:type w:val="continuous"/>
          <w:pgSz w:w="12240" w:h="15840"/>
          <w:pgMar w:top="610" w:right="1012" w:bottom="106" w:left="1068" w:header="720" w:footer="720" w:gutter="0"/>
          <w:cols w:space="720" w:num="2" w:equalWidth="0"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344</w:t>
      </w:r>
    </w:p>
    <w:p>
      <w:pPr>
        <w:sectPr>
          <w:type w:val="nextColumn"/>
          <w:pgSz w:w="12240" w:h="15840"/>
          <w:pgMar w:top="610" w:right="1012" w:bottom="106" w:left="1068" w:header="720" w:footer="720" w:gutter="0"/>
          <w:cols w:space="720" w:num="2" w:equalWidth="0"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sectPr>
          <w:pgSz w:w="12240" w:h="15840"/>
          <w:pgMar w:top="610" w:right="1026" w:bottom="106" w:left="1066" w:header="720" w:footer="720" w:gutter="0"/>
          <w:cols w:space="720" w:num="2" w:equalWidth="0"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1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DiBB: Distributing Black-Box Optimization</w:t>
      </w:r>
    </w:p>
    <w:p>
      <w:pPr>
        <w:autoSpaceDN w:val="0"/>
        <w:autoSpaceDE w:val="0"/>
        <w:widowControl/>
        <w:spacing w:line="218" w:lineRule="exact" w:before="318" w:after="0"/>
        <w:ind w:left="432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BW encapsulates the actual BBO algorithm, and runs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fully asynchronously from the others, though contemporary.</w:t>
      </w:r>
    </w:p>
    <w:p>
      <w:pPr>
        <w:autoSpaceDN w:val="0"/>
        <w:autoSpaceDE w:val="0"/>
        <w:widowControl/>
        <w:spacing w:line="218" w:lineRule="exact" w:before="30" w:after="0"/>
        <w:ind w:left="498" w:right="58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BWs exchange information by uploading to the head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node the state of their search after each update (i.e. a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gen-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>eration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in ES); updates from the other nodes are also pulled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before generating a new population.</w:t>
      </w:r>
    </w:p>
    <w:p>
      <w:pPr>
        <w:autoSpaceDN w:val="0"/>
        <w:autoSpaceDE w:val="0"/>
        <w:widowControl/>
        <w:spacing w:line="216" w:lineRule="exact" w:before="42" w:after="0"/>
        <w:ind w:left="498" w:right="70" w:hanging="27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(4)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In our implementation, each BW can spawn a pool of</w:t>
      </w:r>
      <w:r>
        <w:rPr>
          <w:w w:val="98.62096574571397"/>
          <w:rFonts w:ascii="LinLibertineTI" w:hAnsi="LinLibertineTI" w:eastAsia="LinLibertineTI"/>
          <w:b w:val="0"/>
          <w:i/>
          <w:color w:val="000000"/>
          <w:sz w:val="18"/>
        </w:rPr>
        <w:t xml:space="preserve"> Fitness 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>Evaluators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(FE) on the same machine, used to automatically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manage limited computational resources (such as available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CPUs).</w:t>
      </w:r>
    </w:p>
    <w:p>
      <w:pPr>
        <w:autoSpaceDN w:val="0"/>
        <w:autoSpaceDE w:val="0"/>
        <w:widowControl/>
        <w:spacing w:line="220" w:lineRule="exact" w:before="26" w:after="0"/>
        <w:ind w:left="498" w:right="0" w:hanging="27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(5)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Alternatively, the user can request to evaluate trivial opti-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mization functions on the BW directly (either sequentially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or using multithreading), which is useful when the over-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head of maintaining a discrete pool of evaluators would be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significant with respect to the cost of the actual evaluation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task.</w:t>
      </w:r>
    </w:p>
    <w:p>
      <w:pPr>
        <w:autoSpaceDN w:val="0"/>
        <w:autoSpaceDE w:val="0"/>
        <w:widowControl/>
        <w:spacing w:line="300" w:lineRule="exact" w:before="0" w:after="0"/>
        <w:ind w:left="4" w:right="7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Block Workers communicate with the head node in each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generation, while generation cycles are defined asynchronously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autonomously by each BW. Consider a problem with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variables 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𝑥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, . . . ,𝑥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, and a BW optimizing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𝑏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variables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𝑥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𝑎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, . . . ,𝑥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𝑎</w:t>
      </w:r>
      <w:r>
        <w:rPr>
          <w:w w:val="96.97333017985027"/>
          <w:rFonts w:ascii="txsys" w:hAnsi="txsys" w:eastAsia="txsys"/>
          <w:b w:val="0"/>
          <w:i w:val="0"/>
          <w:color w:val="000000"/>
          <w:sz w:val="15"/>
        </w:rPr>
        <w:t>+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𝑏</w:t>
      </w:r>
      <w:r>
        <w:rPr>
          <w:w w:val="96.97333017985027"/>
          <w:rFonts w:ascii="txsys" w:hAnsi="txsys" w:eastAsia="txsys"/>
          <w:b w:val="0"/>
          <w:i w:val="0"/>
          <w:color w:val="000000"/>
          <w:sz w:val="15"/>
        </w:rPr>
        <w:t>−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, denoted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as the vector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𝑥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𝐵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for short. The head node maintains a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reference 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>solution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¯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𝑥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, which fulfills a two-fold purpose: it serves as an </w:t>
      </w:r>
      <w:r>
        <w:rPr>
          <w:w w:val="98.87222713894315"/>
          <w:rFonts w:ascii="LinLibertineT" w:hAnsi="LinLibertineT" w:eastAsia="LinLibertineT"/>
          <w:b w:val="0"/>
          <w:i w:val="0"/>
          <w:color w:val="000000"/>
          <w:sz w:val="18"/>
        </w:rPr>
        <w:t xml:space="preserve">anytime-estimate of the state of the search (current optimum),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it provides a unifying context to the BWs and the FEs.</w:t>
      </w:r>
    </w:p>
    <w:p>
      <w:pPr>
        <w:autoSpaceDN w:val="0"/>
        <w:tabs>
          <w:tab w:pos="210" w:val="left"/>
        </w:tabs>
        <w:autoSpaceDE w:val="0"/>
        <w:widowControl/>
        <w:spacing w:line="220" w:lineRule="exact" w:before="28" w:after="0"/>
        <w:ind w:left="4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Intuitively, each BW is only aware of the variables in one block,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can only generate samples for the corresponding variables.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These incomplete samples however need to be constructed as part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a complete solution in order to be scored on the task. In our </w:t>
      </w:r>
      <w:r>
        <w:rPr>
          <w:w w:val="98.72154659695096"/>
          <w:rFonts w:ascii="LinLibertineT" w:hAnsi="LinLibertineT" w:eastAsia="LinLibertineT"/>
          <w:b w:val="0"/>
          <w:i w:val="0"/>
          <w:color w:val="000000"/>
          <w:sz w:val="18"/>
        </w:rPr>
        <w:t xml:space="preserve">recurring example of neuroevolution, the sample could correspond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the weights for a neuron, or layer, while obviously only full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networks can be evaluated on the task. We address this issue by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leveraging once again our assumption of partial separability. After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our hypothesis of the correlation across blocks being negligible, we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can evaluate each block in isolation by inserting it in the context 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 xml:space="preserve">of the (current) reference solution, as obtained from the head node.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Hypothesize for a moment that there is no correlation inter-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block—we will address the validity of this statement just below.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this case, each layer can be scored fairly by constructing a full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reference network, then swapping the corresponding weights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target layer for the block sample, and finally evaluating the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resulting complete network on the task. Different independent sam-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ples from a same block (individuals) would receive fair evaluation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 this fashion as long as they are evaluated on the same refer-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ence network. This is in fact constructed by assembling the partial 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>sample into the global reference solutions. Partial samples are con-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structed by aggregating the reference or center sample from each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the BBO instances running on each block, which as mentioned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is maintained in the head node by each block instance at the end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each generation.</w:t>
      </w:r>
    </w:p>
    <w:p>
      <w:pPr>
        <w:autoSpaceDN w:val="0"/>
        <w:autoSpaceDE w:val="0"/>
        <w:widowControl/>
        <w:spacing w:line="252" w:lineRule="exact" w:before="0" w:after="0"/>
        <w:ind w:left="0" w:right="7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More formally: at the start of each generation, the BW receives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current reference solution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¯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𝑥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, . . . ,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¯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𝑥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from the head node.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 xml:space="preserve">2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block-level ES samples a population of candidate solutions 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𝑦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, . . .𝑦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𝜆</w:t>
      </w:r>
      <w:r>
        <w:rPr>
          <w:rFonts w:ascii="txsys" w:hAnsi="txsys" w:eastAsia="txsys"/>
          <w:b w:val="0"/>
          <w:i w:val="0"/>
          <w:color w:val="000000"/>
          <w:sz w:val="18"/>
        </w:rPr>
        <w:t>∈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𝑏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 If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𝑏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is small, then sampling from a Gaussian with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full covariance matrix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N (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𝑚, 𝜎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𝐶</w:t>
      </w:r>
      <w:r>
        <w:rPr>
          <w:rFonts w:ascii="txsys" w:hAnsi="txsys" w:eastAsia="txsys"/>
          <w:b w:val="0"/>
          <w:i w:val="0"/>
          <w:color w:val="000000"/>
          <w:sz w:val="18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is feasible. The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𝑏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-dimensional</w:t>
      </w:r>
    </w:p>
    <w:p>
      <w:pPr>
        <w:autoSpaceDN w:val="0"/>
        <w:autoSpaceDE w:val="0"/>
        <w:widowControl/>
        <w:spacing w:line="370" w:lineRule="exact" w:before="64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1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It would suffice to send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 xml:space="preserve"> ¯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𝑥</w:t>
      </w:r>
      <w:r>
        <w:rPr>
          <w:rFonts w:ascii="LinLibertineT" w:hAnsi="LinLibertineT" w:eastAsia="LinLibertineT"/>
          <w:b w:val="0"/>
          <w:i w:val="0"/>
          <w:color w:val="000000"/>
          <w:sz w:val="11"/>
        </w:rPr>
        <w:t>1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, . . . ,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 xml:space="preserve"> ¯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𝑥</w:t>
      </w:r>
      <w:r>
        <w:rPr>
          <w:rFonts w:ascii="LibertineMathMI5" w:hAnsi="LibertineMathMI5" w:eastAsia="LibertineMathMI5"/>
          <w:b w:val="0"/>
          <w:i/>
          <w:color w:val="000000"/>
          <w:sz w:val="11"/>
        </w:rPr>
        <w:t>𝑎</w:t>
      </w:r>
      <w:r>
        <w:rPr>
          <w:rFonts w:ascii="txsys" w:hAnsi="txsys" w:eastAsia="txsys"/>
          <w:b w:val="0"/>
          <w:i w:val="0"/>
          <w:color w:val="000000"/>
          <w:sz w:val="11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11"/>
        </w:rPr>
        <w:t>1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,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 xml:space="preserve"> ¯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𝑥</w:t>
      </w:r>
      <w:r>
        <w:rPr>
          <w:rFonts w:ascii="LibertineMathMI5" w:hAnsi="LibertineMathMI5" w:eastAsia="LibertineMathMI5"/>
          <w:b w:val="0"/>
          <w:i/>
          <w:color w:val="000000"/>
          <w:sz w:val="11"/>
        </w:rPr>
        <w:t>𝑎</w:t>
      </w:r>
      <w:r>
        <w:rPr>
          <w:rFonts w:ascii="txsys" w:hAnsi="txsys" w:eastAsia="txsys"/>
          <w:b w:val="0"/>
          <w:i w:val="0"/>
          <w:color w:val="000000"/>
          <w:sz w:val="11"/>
        </w:rPr>
        <w:t>+</w:t>
      </w:r>
      <w:r>
        <w:rPr>
          <w:rFonts w:ascii="LibertineMathMI5" w:hAnsi="LibertineMathMI5" w:eastAsia="LibertineMathMI5"/>
          <w:b w:val="0"/>
          <w:i/>
          <w:color w:val="000000"/>
          <w:sz w:val="11"/>
        </w:rPr>
        <w:t>𝑏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, . . . ,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 xml:space="preserve"> ¯</w:t>
      </w:r>
      <w:r>
        <w:rPr>
          <w:w w:val="96.97333017985027"/>
          <w:rFonts w:ascii="LibertineMathMI7" w:hAnsi="LibertineMathMI7" w:eastAsia="LibertineMathMI7"/>
          <w:b w:val="0"/>
          <w:i/>
          <w:color w:val="000000"/>
          <w:sz w:val="15"/>
        </w:rPr>
        <w:t>𝑥</w:t>
      </w:r>
      <w:r>
        <w:rPr>
          <w:rFonts w:ascii="LibertineMathMI5" w:hAnsi="LibertineMathMI5" w:eastAsia="LibertineMathMI5"/>
          <w:b w:val="0"/>
          <w:i/>
          <w:color w:val="000000"/>
          <w:sz w:val="11"/>
        </w:rPr>
        <w:t>𝑑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to the BW, but the difference has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been negligible in our experiments so far up to 30 blocks.</w:t>
      </w:r>
    </w:p>
    <w:p>
      <w:pPr>
        <w:sectPr>
          <w:type w:val="continuous"/>
          <w:pgSz w:w="12240" w:h="15840"/>
          <w:pgMar w:top="610" w:right="1026" w:bottom="106" w:left="1066" w:header="720" w:footer="720" w:gutter="0"/>
          <w:cols w:space="720" w:num="2" w:equalWidth="0"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345</w:t>
      </w:r>
    </w:p>
    <w:p>
      <w:pPr>
        <w:sectPr>
          <w:type w:val="nextColumn"/>
          <w:pgSz w:w="12240" w:h="15840"/>
          <w:pgMar w:top="610" w:right="1026" w:bottom="106" w:left="1066" w:header="720" w:footer="720" w:gutter="0"/>
          <w:cols w:space="720" w:num="2" w:equalWidth="0"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tabs>
          <w:tab w:pos="9388" w:val="left"/>
        </w:tabs>
        <w:autoSpaceDE w:val="0"/>
        <w:widowControl/>
        <w:spacing w:line="162" w:lineRule="exact" w:before="0" w:after="288"/>
        <w:ind w:left="8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GECCO ’22, July 9–13,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Cuccu, et al.</w:t>
      </w:r>
    </w:p>
    <w:p>
      <w:pPr>
        <w:sectPr>
          <w:pgSz w:w="12240" w:h="15840"/>
          <w:pgMar w:top="610" w:right="1024" w:bottom="106" w:left="1068" w:header="720" w:footer="720" w:gutter="0"/>
          <w:cols w:space="720" w:num="1" w:equalWidth="0"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2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problem is smartly sidestepped by Salimans et al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 [28]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by 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>synchronizing the</w:t>
      </w:r>
      <w:r>
        <w:rPr>
          <w:w w:val="98.97255367702908"/>
          <w:rFonts w:ascii="LinLibertineTI" w:hAnsi="LinLibertineTI" w:eastAsia="LinLibertineTI"/>
          <w:b w:val="0"/>
          <w:i/>
          <w:color w:val="000000"/>
          <w:sz w:val="18"/>
        </w:rPr>
        <w:t xml:space="preserve"> entropy</w:t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 xml:space="preserve"> (random number generation) across the 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 xml:space="preserve">machines, which makes them generate the same samples, however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at the price of a fully-synchronous implementation (and greatly sim-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plified algorithm). The same method can be implemented into DiBB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to allow a Block Worker to spawn Fitness Evaluators across multiple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machines, which would immediately improve performance partic-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ularly in the case of large population sizes. With DiBB however,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the actual updates would remain asynchronous, which implies that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FEs spawned in the cluster could actually be shared between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BWs. Since this communication overhead occurs only once per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(block-wise) generation in DiBB, and not once per fitness evalua-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tion, our implementation has considerable less pronounced network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overhead than in the distribution of fitness evaluation in a plain ES.</w:t>
      </w:r>
    </w:p>
    <w:p>
      <w:pPr>
        <w:autoSpaceDN w:val="0"/>
        <w:tabs>
          <w:tab w:pos="338" w:val="left"/>
        </w:tabs>
        <w:autoSpaceDE w:val="0"/>
        <w:widowControl/>
        <w:spacing w:line="294" w:lineRule="exact" w:before="250" w:after="0"/>
        <w:ind w:left="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4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EXPERIMENTS</w:t>
      </w:r>
    </w:p>
    <w:p>
      <w:pPr>
        <w:autoSpaceDN w:val="0"/>
        <w:tabs>
          <w:tab w:pos="164" w:val="left"/>
          <w:tab w:pos="496" w:val="left"/>
        </w:tabs>
        <w:autoSpaceDE w:val="0"/>
        <w:widowControl/>
        <w:spacing w:line="220" w:lineRule="exact" w:before="28" w:after="0"/>
        <w:ind w:left="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This section describes the setup used to empirically assess the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performance of DiBB. With our experiments, we aim to address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following research questions: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Q1: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 How well does the block-diagonal approach work, compared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diagonal- and full-covariance CMA?</w:t>
      </w:r>
    </w:p>
    <w:p>
      <w:pPr>
        <w:autoSpaceDN w:val="0"/>
        <w:tabs>
          <w:tab w:pos="496" w:val="left"/>
        </w:tabs>
        <w:autoSpaceDE w:val="0"/>
        <w:widowControl/>
        <w:spacing w:line="218" w:lineRule="exact" w:before="30" w:after="0"/>
        <w:ind w:left="1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Q2: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How does DiBB’s performance scale to a large number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machines and cores?</w:t>
      </w:r>
    </w:p>
    <w:p>
      <w:pPr>
        <w:autoSpaceDN w:val="0"/>
        <w:autoSpaceDE w:val="0"/>
        <w:widowControl/>
        <w:spacing w:line="248" w:lineRule="exact" w:before="0" w:after="0"/>
        <w:ind w:left="1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Q3: Is DiBB well-suited for neuroevolution applications?</w:t>
      </w:r>
    </w:p>
    <w:p>
      <w:pPr>
        <w:autoSpaceDN w:val="0"/>
        <w:autoSpaceDE w:val="0"/>
        <w:widowControl/>
        <w:spacing w:line="220" w:lineRule="exact" w:before="26" w:after="0"/>
        <w:ind w:left="8" w:right="0" w:hanging="8"/>
        <w:jc w:val="left"/>
      </w:pPr>
      <w:r>
        <w:rPr>
          <w:w w:val="98.87222713894315"/>
          <w:rFonts w:ascii="LinLibertineT" w:hAnsi="LinLibertineT" w:eastAsia="LinLibertineT"/>
          <w:b w:val="0"/>
          <w:i w:val="0"/>
          <w:color w:val="000000"/>
          <w:sz w:val="18"/>
        </w:rPr>
        <w:t>We assess the first two questions on the standard COmparing Con-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tinuous Optimizers (COCO) Black Box Optimization Benchmark 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>(BBOB), using both the standard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17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>] and the</w:t>
      </w:r>
      <w:r>
        <w:rPr>
          <w:w w:val="98.8220320807563"/>
          <w:rFonts w:ascii="LinLibertineTI" w:hAnsi="LinLibertineTI" w:eastAsia="LinLibertineTI"/>
          <w:b w:val="0"/>
          <w:i/>
          <w:color w:val="000000"/>
          <w:sz w:val="18"/>
        </w:rPr>
        <w:t xml:space="preserve"> large-scale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9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>] bench-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mark suites. For answering the third question, we showcase a neu-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roevolution application in the challenging OpenAI Gym 2D Walker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environment.</w:t>
      </w:r>
    </w:p>
    <w:p>
      <w:pPr>
        <w:autoSpaceDN w:val="0"/>
        <w:tabs>
          <w:tab w:pos="504" w:val="left"/>
        </w:tabs>
        <w:autoSpaceDE w:val="0"/>
        <w:widowControl/>
        <w:spacing w:line="294" w:lineRule="exact" w:before="250" w:after="0"/>
        <w:ind w:left="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4.1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Setup and reference implementation</w:t>
      </w:r>
    </w:p>
    <w:p>
      <w:pPr>
        <w:autoSpaceDN w:val="0"/>
        <w:autoSpaceDE w:val="0"/>
        <w:widowControl/>
        <w:spacing w:line="220" w:lineRule="exact" w:before="28" w:after="0"/>
        <w:ind w:left="8" w:right="0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We tested DiBB on a variety of hardware solutions. The COCO-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BBOB experiments were run on a cluster of 24 low-performance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machines, all based on an Intel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(R)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Core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(TM)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i7-2600 CPU @ 3.40GHz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(4 cores/8 threads each), and 32 GB of RAM. These machines 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far from state-of-the-art performance, which leaves a significant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margin of improvement for the timings presented in our results.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This decision was taken to encourage interested labs to reproduce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our results on whatever hardware they can put together, without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expectation of dedicating any significant budget.</w:t>
      </w:r>
    </w:p>
    <w:p>
      <w:pPr>
        <w:autoSpaceDN w:val="0"/>
        <w:autoSpaceDE w:val="0"/>
        <w:widowControl/>
        <w:spacing w:line="220" w:lineRule="exact" w:before="28" w:after="0"/>
        <w:ind w:left="8" w:right="0" w:firstLine="200"/>
        <w:jc w:val="left"/>
      </w:pPr>
      <w:r>
        <w:rPr>
          <w:w w:val="98.77180523342557"/>
          <w:rFonts w:ascii="LinLibertineT" w:hAnsi="LinLibertineT" w:eastAsia="LinLibertineT"/>
          <w:b w:val="0"/>
          <w:i w:val="0"/>
          <w:color w:val="000000"/>
          <w:sz w:val="18"/>
        </w:rPr>
        <w:t xml:space="preserve">The cluster setup is simplified by the included managing scripts.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Running on a single machine with a single block and no Fitness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Evaluators roughly corresponds to running the underlying BBO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algorithm alone (plus overhead, and with parallel fitness evaluation),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and can be achieved without setup with a syntax alike to CMA-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ES. Spawning multiple BWs and FEs automatically scales to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available resources, as declared in the managing script using a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simple list of network IPs.</w:t>
      </w:r>
    </w:p>
    <w:p>
      <w:pPr>
        <w:autoSpaceDN w:val="0"/>
        <w:autoSpaceDE w:val="0"/>
        <w:widowControl/>
        <w:spacing w:line="220" w:lineRule="exact" w:before="28" w:after="0"/>
        <w:ind w:left="8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experiments below are based on our reference implementa-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tion of DiBB written in Python, which leverages the Ray distributed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computation library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 The code is released open source on GitHub</w:t>
      </w:r>
    </w:p>
    <w:p>
      <w:pPr>
        <w:autoSpaceDN w:val="0"/>
        <w:autoSpaceDE w:val="0"/>
        <w:widowControl/>
        <w:spacing w:line="212" w:lineRule="exact" w:before="594" w:after="0"/>
        <w:ind w:left="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1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0" w:history="1">
          <w:r>
            <w:rPr>
              <w:rStyle w:val="Hyperlink"/>
            </w:rPr>
            <w:t xml:space="preserve">https://www.ray.io/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— a Python framework for distributed computing</w:t>
      </w:r>
    </w:p>
    <w:p>
      <w:pPr>
        <w:sectPr>
          <w:type w:val="continuous"/>
          <w:pgSz w:w="12240" w:h="15840"/>
          <w:pgMar w:top="610" w:right="1024" w:bottom="106" w:left="1068" w:header="720" w:footer="720" w:gutter="0"/>
          <w:cols w:space="720" w:num="2" w:equalWidth="0"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346</w:t>
      </w:r>
    </w:p>
    <w:p>
      <w:pPr>
        <w:sectPr>
          <w:type w:val="nextColumn"/>
          <w:pgSz w:w="12240" w:h="15840"/>
          <w:pgMar w:top="610" w:right="1024" w:bottom="106" w:left="1068" w:header="720" w:footer="720" w:gutter="0"/>
          <w:cols w:space="720" w:num="2" w:equalWidth="0"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536"/>
        <w:gridCol w:w="2536"/>
        <w:gridCol w:w="2536"/>
        <w:gridCol w:w="2536"/>
      </w:tblGrid>
      <w:tr>
        <w:trPr>
          <w:trHeight w:hRule="exact" w:val="298"/>
        </w:trPr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4"/>
              </w:rPr>
              <w:t>DiBB: Distributing Black-Box Optimization</w:t>
            </w:r>
          </w:p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36700" cy="11849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1184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1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4"/>
              </w:rPr>
              <w:t>GECCO ’22, July 9–13, 2022, Boston, MA, USA</w:t>
            </w:r>
          </w:p>
        </w:tc>
      </w:tr>
      <w:tr>
        <w:trPr>
          <w:trHeight w:hRule="exact" w:val="2080"/>
        </w:trPr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37970" cy="117983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70" cy="1179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36"/>
            <w:vMerge/>
            <w:tcBorders/>
          </w:tcPr>
          <w:p/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36700" cy="116967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1169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37970" cy="11747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70" cy="1174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8" w:lineRule="exact" w:before="174" w:after="306"/>
        <w:ind w:left="6" w:right="50" w:firstLine="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Figure 2: ECDF plots of the performance of PS-CMA-ES, sep-CMA-ES and standard CMA-ES in dimension 320. From left to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right: f1-f5 with Exp. 1/Exp. 3, Exp. 2/Exp. 4, then f10-f14 with Exp. 1/Exp. 3, Exp. 2/Exp. 4. The curves show the fraction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of precision targets reached over time, measured as number of function evaluations divided by problem dimension, on a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logarithmic scale. For additional information on ECDF plots, please refer to [16].</w:t>
      </w:r>
    </w:p>
    <w:p>
      <w:pPr>
        <w:sectPr>
          <w:pgSz w:w="12240" w:h="15840"/>
          <w:pgMar w:top="610" w:right="1026" w:bottom="106" w:left="1070" w:header="720" w:footer="720" w:gutter="0"/>
          <w:cols w:space="720" w:num="1" w:equalWidth="0"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36"/>
        <w:gridCol w:w="2536"/>
        <w:gridCol w:w="2536"/>
        <w:gridCol w:w="2536"/>
      </w:tblGrid>
      <w:tr>
        <w:trPr>
          <w:trHeight w:hRule="exact" w:val="253"/>
        </w:trPr>
        <w:tc>
          <w:tcPr>
            <w:tcW w:type="dxa" w:w="1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" w:after="0"/>
              <w:ind w:left="0" w:right="15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Number of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Number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Block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34" w:after="0"/>
              <w:ind w:left="11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Duration</w:t>
            </w:r>
          </w:p>
        </w:tc>
      </w:tr>
      <w:tr>
        <w:trPr>
          <w:trHeight w:hRule="exact" w:val="256"/>
        </w:trPr>
        <w:tc>
          <w:tcPr>
            <w:tcW w:type="dxa" w:w="1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9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dimensions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of blocks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size</w:t>
            </w:r>
          </w:p>
        </w:tc>
        <w:tc>
          <w:tcPr>
            <w:tcW w:type="dxa" w:w="2536"/>
            <w:vMerge/>
            <w:tcBorders/>
          </w:tcPr>
          <w:p/>
        </w:tc>
      </w:tr>
      <w:tr>
        <w:trPr>
          <w:trHeight w:hRule="exact" w:val="1164"/>
        </w:trPr>
        <w:tc>
          <w:tcPr>
            <w:tcW w:type="dxa" w:w="1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864" w:right="432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80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160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320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640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2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8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16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254" w:right="240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110" w:right="57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25h 13m 47s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43h 26m 57s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40h 21m 01s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44h 53m 29s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61h 20m 11s</w:t>
            </w:r>
          </w:p>
        </w:tc>
      </w:tr>
      <w:tr>
        <w:trPr>
          <w:trHeight w:hRule="exact" w:val="1438"/>
        </w:trPr>
        <w:tc>
          <w:tcPr>
            <w:tcW w:type="dxa" w:w="485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" w:after="0"/>
              <w:ind w:left="6" w:right="0" w:hanging="6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Table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2: Timing results for Experiment 4: BBOB larg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e-scale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suite with fixed block size 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×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budget). Larger problem di-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mensions are addressed here with increasing the number of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blocks. Since each block is optimized in parallel, the increase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in run time of the experiments is only limited to communi-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cation overhead, thus small as problem dimensions grow.</w:t>
            </w:r>
          </w:p>
        </w:tc>
      </w:tr>
    </w:tbl>
    <w:p>
      <w:pPr>
        <w:autoSpaceDN w:val="0"/>
        <w:tabs>
          <w:tab w:pos="206" w:val="left"/>
        </w:tabs>
        <w:autoSpaceDE w:val="0"/>
        <w:widowControl/>
        <w:spacing w:line="220" w:lineRule="exact" w:before="142" w:after="0"/>
        <w:ind w:left="2" w:right="0" w:firstLine="0"/>
        <w:jc w:val="left"/>
      </w:pP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process by providing publicly available performance data for many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state-of-the-art algorithms.</w:t>
      </w:r>
      <w:r>
        <w:rPr>
          <w:w w:val="96.97333017985027"/>
          <w:rFonts w:ascii="LinLibertineT" w:hAnsi="LinLibertineT" w:eastAsia="LinLibertineT"/>
          <w:b w:val="0"/>
          <w:i w:val="0"/>
          <w:color w:val="000000"/>
          <w:sz w:val="15"/>
        </w:rPr>
        <w:t xml:space="preserve">7 </w:t>
      </w:r>
      <w:r>
        <w:br/>
      </w:r>
      <w:r>
        <w:tab/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We test the scaling of DiBB’s performance as we vary in turn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problem dimensions and the block size, from the related but radi-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cally different perspectives of sample efficiency (i.e. convergence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speed, how many samples it takes for the algorithm to reach con-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vergence) and effective run time (i.e. wall-clock speed, how long it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actually takes for the algorithm to converge in real time). In the case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>of DiBB, run time is significantly (positively) impacted by its inher-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ent distributed implementation, as each BW evaluates the fitness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its individuals locally in its dedicated machine, asynchronously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from all other BWs.</w:t>
      </w:r>
    </w:p>
    <w:p>
      <w:pPr>
        <w:autoSpaceDN w:val="0"/>
        <w:tabs>
          <w:tab w:pos="206" w:val="left"/>
          <w:tab w:pos="224" w:val="left"/>
          <w:tab w:pos="494" w:val="left"/>
        </w:tabs>
        <w:autoSpaceDE w:val="0"/>
        <w:widowControl/>
        <w:spacing w:line="220" w:lineRule="exact" w:before="28" w:after="0"/>
        <w:ind w:left="6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this end, we ran the following experiments: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(1)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Constant number of blocks, increasing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and block size,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BBOB suite (</w:t>
      </w:r>
      <w:r>
        <w:rPr>
          <w:rFonts w:ascii="Inconsolatazi4" w:hAnsi="Inconsolatazi4" w:eastAsia="Inconsolatazi4"/>
          <w:b w:val="0"/>
          <w:i w:val="0"/>
          <w:color w:val="000000"/>
          <w:sz w:val="18"/>
        </w:rPr>
        <w:t>bbob_fnb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)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(2)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Constant block size, increasing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and number of blocks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BBOB suite (</w:t>
      </w:r>
      <w:r>
        <w:rPr>
          <w:rFonts w:ascii="Inconsolatazi4" w:hAnsi="Inconsolatazi4" w:eastAsia="Inconsolatazi4"/>
          <w:b w:val="0"/>
          <w:i w:val="0"/>
          <w:color w:val="000000"/>
          <w:sz w:val="18"/>
        </w:rPr>
        <w:t>bbob_fbs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)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(3)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Constant number of blocks, increasing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and block size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large-scale suite (</w:t>
      </w:r>
      <w:r>
        <w:rPr>
          <w:rFonts w:ascii="Inconsolatazi4" w:hAnsi="Inconsolatazi4" w:eastAsia="Inconsolatazi4"/>
          <w:b w:val="0"/>
          <w:i w:val="0"/>
          <w:color w:val="000000"/>
          <w:sz w:val="18"/>
        </w:rPr>
        <w:t>bbob_ls_fnb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)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(4)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Constant block size, increasing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 xml:space="preserve"> 𝑑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and number of blocks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large-scale suite (</w:t>
      </w:r>
      <w:r>
        <w:rPr>
          <w:rFonts w:ascii="Inconsolatazi4" w:hAnsi="Inconsolatazi4" w:eastAsia="Inconsolatazi4"/>
          <w:b w:val="0"/>
          <w:i w:val="0"/>
          <w:color w:val="000000"/>
          <w:sz w:val="18"/>
        </w:rPr>
        <w:t>bbob_ls_fbs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)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(5)</w:t>
      </w:r>
      <w:r>
        <w:rPr>
          <w:w w:val="98.8220320807563"/>
          <w:rFonts w:ascii="LinLibertineT" w:hAnsi="LinLibertineT" w:eastAsia="LinLibertineT"/>
          <w:b w:val="0"/>
          <w:i w:val="0"/>
          <w:color w:val="000000"/>
          <w:sz w:val="18"/>
        </w:rPr>
        <w:t xml:space="preserve"> Comparison of the wall-clock speed between plain CMA-ES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PS-CMA-ES using different block sizes </w:t>
      </w:r>
      <w:r>
        <w:br/>
      </w:r>
      <w:r>
        <w:rPr>
          <w:w w:val="98.97255367702908"/>
          <w:rFonts w:ascii="LinLibertineT" w:hAnsi="LinLibertineT" w:eastAsia="LinLibertineT"/>
          <w:b w:val="0"/>
          <w:i w:val="0"/>
          <w:color w:val="000000"/>
          <w:sz w:val="18"/>
        </w:rPr>
        <w:t>Complete details of the experimental setup for reproducibility pur-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pose are found in Appendix A.1.</w:t>
      </w:r>
    </w:p>
    <w:p>
      <w:pPr>
        <w:autoSpaceDN w:val="0"/>
        <w:autoSpaceDE w:val="0"/>
        <w:widowControl/>
        <w:spacing w:line="212" w:lineRule="exact" w:before="268" w:after="0"/>
        <w:ind w:left="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1"/>
        </w:rPr>
        <w:t>7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See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 xml:space="preserve"> https://numbbo.github.io/data-archive/bbob/.</w:t>
          </w:r>
        </w:hyperlink>
      </w:r>
    </w:p>
    <w:p>
      <w:pPr>
        <w:sectPr>
          <w:type w:val="continuous"/>
          <w:pgSz w:w="12240" w:h="15840"/>
          <w:pgMar w:top="610" w:right="1026" w:bottom="106" w:left="1070" w:header="720" w:footer="720" w:gutter="0"/>
          <w:cols w:space="720" w:num="2" w:equalWidth="0"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347</w:t>
      </w:r>
    </w:p>
    <w:p>
      <w:pPr>
        <w:sectPr>
          <w:type w:val="nextColumn"/>
          <w:pgSz w:w="12240" w:h="15840"/>
          <w:pgMar w:top="610" w:right="1026" w:bottom="106" w:left="1070" w:header="720" w:footer="720" w:gutter="0"/>
          <w:cols w:space="720" w:num="2" w:equalWidth="0"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tabs>
          <w:tab w:pos="9388" w:val="left"/>
        </w:tabs>
        <w:autoSpaceDE w:val="0"/>
        <w:widowControl/>
        <w:spacing w:line="162" w:lineRule="exact" w:before="0" w:after="290"/>
        <w:ind w:left="8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GECCO ’22, July 9–13,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Cuccu, et al.</w:t>
      </w:r>
    </w:p>
    <w:p>
      <w:pPr>
        <w:sectPr>
          <w:pgSz w:w="12240" w:h="15840"/>
          <w:pgMar w:top="610" w:right="1026" w:bottom="106" w:left="1068" w:header="720" w:footer="720" w:gutter="0"/>
          <w:cols w:space="720" w:num="1" w:equalWidth="0">
            <w:col w:w="10146" w:space="0"/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000000000001" w:type="dxa"/>
      </w:tblPr>
      <w:tblGrid>
        <w:gridCol w:w="2536"/>
        <w:gridCol w:w="2536"/>
        <w:gridCol w:w="2536"/>
        <w:gridCol w:w="2536"/>
      </w:tblGrid>
      <w:tr>
        <w:trPr>
          <w:trHeight w:hRule="exact" w:val="312"/>
        </w:trPr>
        <w:tc>
          <w:tcPr>
            <w:tcW w:type="dxa" w:w="632"/>
            <w:tcBorders>
              <w:top w:sz="5.895999908447266" w:val="single" w:color="#000000"/>
              <w:bottom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Blocks</w:t>
            </w:r>
          </w:p>
        </w:tc>
        <w:tc>
          <w:tcPr>
            <w:tcW w:type="dxa" w:w="1100"/>
            <w:tcBorders>
              <w:top w:sz="5.895999908447266" w:val="single" w:color="#000000"/>
              <w:bottom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11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Duration</w:t>
            </w:r>
          </w:p>
        </w:tc>
        <w:tc>
          <w:tcPr>
            <w:tcW w:type="dxa" w:w="1340"/>
            <w:tcBorders>
              <w:top w:sz="5.895999908447266" w:val="single" w:color="#000000"/>
              <w:bottom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Relative Time</w:t>
            </w:r>
          </w:p>
        </w:tc>
        <w:tc>
          <w:tcPr>
            <w:tcW w:type="dxa" w:w="1030"/>
            <w:tcBorders>
              <w:top w:sz="5.895999908447266" w:val="single" w:color="#000000"/>
              <w:bottom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11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Speed Gain</w:t>
            </w:r>
          </w:p>
        </w:tc>
      </w:tr>
      <w:tr>
        <w:trPr>
          <w:trHeight w:hRule="exact" w:val="1158"/>
        </w:trPr>
        <w:tc>
          <w:tcPr>
            <w:tcW w:type="dxa" w:w="632"/>
            <w:tcBorders>
              <w:top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8" w:right="458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2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4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8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16</w:t>
            </w:r>
          </w:p>
        </w:tc>
        <w:tc>
          <w:tcPr>
            <w:tcW w:type="dxa" w:w="1100"/>
            <w:tcBorders>
              <w:top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118" w:right="84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17h 43m 41s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17h 33m 30s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06h 32m 19s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03h 56m 56s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03h 06m 05s</w:t>
            </w:r>
          </w:p>
        </w:tc>
        <w:tc>
          <w:tcPr>
            <w:tcW w:type="dxa" w:w="1340"/>
            <w:tcBorders>
              <w:top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116" w:right="576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100.00%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99.04%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36.88%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22.27%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17.49%</w:t>
            </w:r>
          </w:p>
        </w:tc>
        <w:tc>
          <w:tcPr>
            <w:tcW w:type="dxa" w:w="1030"/>
            <w:tcBorders>
              <w:top w:sz="3.6879999637603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112" w:right="288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0.00%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0.97%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171.13%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348.94%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471.62%</w:t>
            </w:r>
          </w:p>
        </w:tc>
      </w:tr>
    </w:tbl>
    <w:p>
      <w:pPr>
        <w:autoSpaceDN w:val="0"/>
        <w:autoSpaceDE w:val="0"/>
        <w:widowControl/>
        <w:spacing w:line="220" w:lineRule="exact" w:before="44" w:after="0"/>
        <w:ind w:left="8" w:right="0" w:hanging="6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Tabl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e 3: Timing results for Experiment 5: BBOB large-s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cale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suite in 160 dimensions using different block sizes. The first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row (one block) corresponds to running CMA-ES without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DiBB. When using only two blocks, we observe almost the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same wall-clock time. For larger number of blocks however,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the time is significantly reduced.</w:t>
      </w:r>
    </w:p>
    <w:p>
      <w:pPr>
        <w:autoSpaceDN w:val="0"/>
        <w:autoSpaceDE w:val="0"/>
        <w:widowControl/>
        <w:spacing w:line="218" w:lineRule="exact" w:before="382" w:after="0"/>
        <w:ind w:left="8" w:right="0" w:hanging="4"/>
        <w:jc w:val="left"/>
      </w:pP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40d BBOB large-scale suite with one block (another single-machine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run).</w:t>
      </w:r>
    </w:p>
    <w:p>
      <w:pPr>
        <w:autoSpaceDN w:val="0"/>
        <w:autoSpaceDE w:val="0"/>
        <w:widowControl/>
        <w:spacing w:line="220" w:lineRule="exact" w:before="28" w:after="0"/>
        <w:ind w:left="0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Tables 1 and 2 compare the run times of DiBB with different </w:t>
      </w:r>
      <w:r>
        <w:rPr>
          <w:w w:val="98.72154659695096"/>
          <w:rFonts w:ascii="LinLibertineT" w:hAnsi="LinLibertineT" w:eastAsia="LinLibertineT"/>
          <w:b w:val="0"/>
          <w:i w:val="0"/>
          <w:color w:val="000000"/>
          <w:sz w:val="18"/>
        </w:rPr>
        <w:t>numbers of blocks, block sizes, and dimensions on the BBOB large-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scale suite. Several effects come together: in larger dimensions,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function evaluation time and communication overhead grow lin-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early. Due to the fixed budget multiplier used in COCO, the overall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function evaluation budget also grows linearly. On the other hand,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CMA’s computational effort grows quadratically in the block size.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We clearly observe that the runtime grows far more benign when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using a fixed block size, which indicates that CMA overhead indeed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quickly becomes the dominating term. Hence, the block size should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be kept tightly under control. This answers question Q2. Addition-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ally, Table 3 compares the wall-clock speed of PS-CMA-ES using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different block sizes on the 160d BBOB large-scale problems suite.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For one vs. two blocks, there is almost no difference in the duration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of the experiment. However, for four or more blocks, the wall-clock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time diminished drastically, leading to a speed gain of 471%. Note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that for BBOB and most other benchmark problems, evaluations 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unrealistically cheap, so DiBB’s parallelization overhead becomes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relatively significant. For a more realistic function evaluation cost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(i.e. as little as 10ms) the overhead becomes negligible, highlighting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benefit of parallel evaluations.</w:t>
      </w:r>
    </w:p>
    <w:p>
      <w:pPr>
        <w:autoSpaceDN w:val="0"/>
        <w:tabs>
          <w:tab w:pos="504" w:val="left"/>
        </w:tabs>
        <w:autoSpaceDE w:val="0"/>
        <w:widowControl/>
        <w:spacing w:line="294" w:lineRule="exact" w:before="204" w:after="0"/>
        <w:ind w:left="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4.3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PyBullet Walker 2D</w:t>
      </w:r>
    </w:p>
    <w:p>
      <w:pPr>
        <w:autoSpaceDN w:val="0"/>
        <w:autoSpaceDE w:val="0"/>
        <w:widowControl/>
        <w:spacing w:line="220" w:lineRule="exact" w:before="28" w:after="0"/>
        <w:ind w:left="8" w:right="0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Although DiBB can be applied to any existing BBO and problem,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its value in neuroevolution applications has undeniably been one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of the original inspirations, particularly in relation to neural net-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works of large size. Therefore we present our results on a complex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reinforcement learning control task: the Walker 2D environment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from PyBullet [5], instantiated through the OpenAI Gym [3].</w:t>
      </w:r>
    </w:p>
    <w:p>
      <w:pPr>
        <w:autoSpaceDN w:val="0"/>
        <w:autoSpaceDE w:val="0"/>
        <w:widowControl/>
        <w:spacing w:line="218" w:lineRule="exact" w:before="28" w:after="0"/>
        <w:ind w:left="8" w:right="7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this task, an agent controls a basic 2D robotic walker using </w:t>
      </w:r>
      <w:r>
        <w:rPr>
          <w:w w:val="98.62096574571397"/>
          <w:rFonts w:ascii="LinLibertineT" w:hAnsi="LinLibertineT" w:eastAsia="LinLibertineT"/>
          <w:b w:val="0"/>
          <w:i w:val="0"/>
          <w:color w:val="000000"/>
          <w:sz w:val="18"/>
        </w:rPr>
        <w:t xml:space="preserve">the PyBullet physics simulator. The observation is a 22-dimensional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reading of the environment (e.g. aperture and angular velocity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each joint, etc.), while the action is a 6-dimensional torque-control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signal. The goal of the task is for the robot to walk the farthest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distance possible in the allotted time, without toppling, which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turn requires learning a usable gait.</w:t>
      </w:r>
    </w:p>
    <w:p>
      <w:pPr>
        <w:autoSpaceDN w:val="0"/>
        <w:autoSpaceDE w:val="0"/>
        <w:widowControl/>
        <w:spacing w:line="302" w:lineRule="exact" w:before="0" w:after="0"/>
        <w:ind w:left="8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policy network is feed-forward and fully connected, com-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posed by two hidden layers of sizes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128</w:t>
      </w:r>
      <w:r>
        <w:rPr>
          <w:rFonts w:ascii="LibertineMathMI" w:hAnsi="LibertineMathMI" w:eastAsia="LibertineMathMI"/>
          <w:b w:val="0"/>
          <w:i/>
          <w:color w:val="000000"/>
          <w:sz w:val="18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64</w:t>
      </w:r>
      <w:r>
        <w:rPr>
          <w:rFonts w:ascii="txsys" w:hAnsi="txsys" w:eastAsia="txsys"/>
          <w:b w:val="0"/>
          <w:i w:val="0"/>
          <w:color w:val="000000"/>
          <w:sz w:val="18"/>
        </w:rPr>
        <w:t>]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 using ReLU activa-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tions. The output layer is composed of six neurons with rescaled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tanh activation normalized to the range of motor commands.</w:t>
      </w:r>
    </w:p>
    <w:p>
      <w:pPr>
        <w:sectPr>
          <w:type w:val="continuous"/>
          <w:pgSz w:w="12240" w:h="15840"/>
          <w:pgMar w:top="610" w:right="1026" w:bottom="106" w:left="1068" w:header="720" w:footer="720" w:gutter="0"/>
          <w:cols w:space="720" w:num="2" w:equalWidth="0">
            <w:col w:w="4888" w:space="0"/>
            <w:col w:w="5258" w:space="0"/>
            <w:col w:w="10146" w:space="0"/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348</w:t>
      </w:r>
    </w:p>
    <w:p>
      <w:pPr>
        <w:sectPr>
          <w:type w:val="nextColumn"/>
          <w:pgSz w:w="12240" w:h="15840"/>
          <w:pgMar w:top="610" w:right="1026" w:bottom="106" w:left="1068" w:header="720" w:footer="720" w:gutter="0"/>
          <w:cols w:space="720" w:num="2" w:equalWidth="0">
            <w:col w:w="4888" w:space="0"/>
            <w:col w:w="5258" w:space="0"/>
            <w:col w:w="10146" w:space="0"/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sectPr>
          <w:pgSz w:w="12240" w:h="15840"/>
          <w:pgMar w:top="612" w:right="1032" w:bottom="106" w:left="1076" w:header="720" w:footer="720" w:gutter="0"/>
          <w:cols w:space="720" w:num="2" w:equalWidth="0">
            <w:col w:w="4888" w:space="0"/>
            <w:col w:w="5258" w:space="0"/>
            <w:col w:w="10146" w:space="0"/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DiBB: Distributing Black-Box Optimization</w:t>
      </w:r>
    </w:p>
    <w:p>
      <w:pPr>
        <w:autoSpaceDN w:val="0"/>
        <w:tabs>
          <w:tab w:pos="64" w:val="left"/>
          <w:tab w:pos="308" w:val="left"/>
        </w:tabs>
        <w:autoSpaceDE w:val="0"/>
        <w:widowControl/>
        <w:spacing w:line="168" w:lineRule="exact" w:before="392" w:after="0"/>
        <w:ind w:left="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REFERENCES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Youhei Akimoto, Anne Auger, and Nikolaus Hansen. 2014. Comparison-based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natural gradient optimization in high dimension.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Genetic and Evolutionary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Computation Conference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ACM, 373–380.</w:t>
      </w:r>
    </w:p>
    <w:p>
      <w:pPr>
        <w:autoSpaceDN w:val="0"/>
        <w:tabs>
          <w:tab w:pos="308" w:val="left"/>
        </w:tabs>
        <w:autoSpaceDE w:val="0"/>
        <w:widowControl/>
        <w:spacing w:line="152" w:lineRule="exact" w:before="48" w:after="0"/>
        <w:ind w:left="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[2]</w:t>
      </w:r>
      <w:r>
        <w:rPr>
          <w:w w:val="98.67756026131767"/>
          <w:rFonts w:ascii="LinLibertineT" w:hAnsi="LinLibertineT" w:eastAsia="LinLibertineT"/>
          <w:b w:val="0"/>
          <w:i w:val="0"/>
          <w:color w:val="000000"/>
          <w:sz w:val="14"/>
        </w:rPr>
        <w:t xml:space="preserve"> Charles Audet and Warren Hare. 2017.</w:t>
      </w:r>
      <w:r>
        <w:rPr>
          <w:w w:val="98.67756026131767"/>
          <w:rFonts w:ascii="LinLibertineTI" w:hAnsi="LinLibertineTI" w:eastAsia="LinLibertineTI"/>
          <w:b w:val="0"/>
          <w:i/>
          <w:color w:val="000000"/>
          <w:sz w:val="14"/>
        </w:rPr>
        <w:t xml:space="preserve"> Derivative-free and blackbox optimization</w:t>
      </w:r>
      <w:r>
        <w:rPr>
          <w:w w:val="98.67756026131767"/>
          <w:rFonts w:ascii="LinLibertineT" w:hAnsi="LinLibertineT" w:eastAsia="LinLibertineT"/>
          <w:b w:val="0"/>
          <w:i w:val="0"/>
          <w:color w:val="000000"/>
          <w:sz w:val="14"/>
        </w:rPr>
        <w:t xml:space="preserve">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Springer.</w:t>
      </w:r>
    </w:p>
    <w:p>
      <w:pPr>
        <w:autoSpaceDN w:val="0"/>
        <w:tabs>
          <w:tab w:pos="308" w:val="left"/>
          <w:tab w:pos="3946" w:val="left"/>
        </w:tabs>
        <w:autoSpaceDE w:val="0"/>
        <w:widowControl/>
        <w:spacing w:line="160" w:lineRule="exact" w:before="32" w:after="0"/>
        <w:ind w:left="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[3]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Greg Brockman, Vicki Cheung, Ludwig Pettersson, Jonas Schneider, John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OpenAI Gym.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Schulman, Jie Tang, and Wojciech Zaremba. 2016.</w:t>
      </w:r>
    </w:p>
    <w:p>
      <w:pPr>
        <w:autoSpaceDN w:val="0"/>
        <w:tabs>
          <w:tab w:pos="306" w:val="left"/>
          <w:tab w:pos="308" w:val="left"/>
        </w:tabs>
        <w:autoSpaceDE w:val="0"/>
        <w:widowControl/>
        <w:spacing w:line="160" w:lineRule="exact" w:before="32" w:after="0"/>
        <w:ind w:left="64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arXiv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6" w:history="1">
          <w:r>
            <w:rPr>
              <w:rStyle w:val="Hyperlink"/>
            </w:rPr>
            <w:t xml:space="preserve">:arXiv:1606.01540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Patry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6" w:history="1">
          <w:r>
            <w:rPr>
              <w:rStyle w:val="Hyperlink"/>
            </w:rPr>
            <w:t>k Chrabaszcz, Ily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 Loshchilov, and Frank Hutter. 2018.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Back to basics: </w:t>
      </w:r>
      <w:r>
        <w:tab/>
      </w:r>
      <w:r>
        <w:rPr>
          <w:w w:val="98.62725394112724"/>
          <w:rFonts w:ascii="LinLibertineTI" w:hAnsi="LinLibertineTI" w:eastAsia="LinLibertineTI"/>
          <w:b w:val="0"/>
          <w:i/>
          <w:color w:val="000000"/>
          <w:sz w:val="14"/>
        </w:rPr>
        <w:t>Benchmarking Canonical Evolution Strategies for Playing ATARI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. Technical Report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1802.08842. arXiv.org.</w:t>
      </w:r>
    </w:p>
    <w:p>
      <w:pPr>
        <w:autoSpaceDN w:val="0"/>
        <w:tabs>
          <w:tab w:pos="308" w:val="left"/>
        </w:tabs>
        <w:autoSpaceDE w:val="0"/>
        <w:widowControl/>
        <w:spacing w:line="160" w:lineRule="exact" w:before="32" w:after="0"/>
        <w:ind w:left="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[5]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Erwin Coumans and Yunfei Bai. 2016–2021. PyBullet, a Python module for physics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simulation for games, robotics and machine learning.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7" w:history="1">
          <w:r>
            <w:rPr>
              <w:rStyle w:val="Hyperlink"/>
            </w:rPr>
            <w:t>http://pybullet.org.</w:t>
          </w:r>
        </w:hyperlink>
      </w:r>
    </w:p>
    <w:p>
      <w:pPr>
        <w:autoSpaceDN w:val="0"/>
        <w:autoSpaceDE w:val="0"/>
        <w:widowControl/>
        <w:spacing w:line="158" w:lineRule="exact" w:before="36" w:after="0"/>
        <w:ind w:left="308" w:right="0" w:hanging="24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Giuseppe Cuccu and Faustino Gomez. 2012. Block di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7" w:history="1">
          <w:r>
            <w:rPr>
              <w:rStyle w:val="Hyperlink"/>
            </w:rPr>
            <w:t>agonal natural evo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lution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strategies.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International Conference on Parallel Problem Solving from Nature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Springer, 488–497.</w:t>
      </w:r>
    </w:p>
    <w:p>
      <w:pPr>
        <w:autoSpaceDN w:val="0"/>
        <w:tabs>
          <w:tab w:pos="304" w:val="left"/>
          <w:tab w:pos="306" w:val="left"/>
          <w:tab w:pos="308" w:val="left"/>
          <w:tab w:pos="3606" w:val="left"/>
          <w:tab w:pos="4490" w:val="left"/>
        </w:tabs>
        <w:autoSpaceDE w:val="0"/>
        <w:widowControl/>
        <w:spacing w:line="160" w:lineRule="exact" w:before="34" w:after="0"/>
        <w:ind w:left="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[7]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Giuseppe Cuccu, Julian Togelius, and Philippe Cudré-Mauroux. 2019. Playing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Atari with six neurons.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Proceedings of the 18th International Conference on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Autonomous Agents and MultiAgent Systems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International Foundation for Au-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tonomous Agents and Multiagent Systems, 998–1006.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8" w:history="1">
          <w:r>
            <w:rPr>
              <w:rStyle w:val="Hyperlink"/>
            </w:rPr>
            <w:t xml:space="preserve">https://exascale.info/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8" w:history="1">
          <w:r>
            <w:rPr>
              <w:rStyle w:val="Hyperlink"/>
            </w:rPr>
            <w:t xml:space="preserve">assets/pdf/cuccu2019aamas.pdf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[8]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hyperlink r:id="rId18" w:history="1">
          <w:r>
            <w:rPr>
              <w:rStyle w:val="Hyperlink"/>
            </w:rPr>
            <w:t>Jeffrey Dean and Sanjay Ghema</w:t>
          </w:r>
        </w:hyperlink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wat. 2008. MapReduce: simplified data processing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on large clusters.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Commun. ACM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51, 1 (2008), 107–113.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 xml:space="preserve">https://doi.org/10.1145/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 xml:space="preserve">1327452.1327492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>Ouassim Ait Elh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ara, Konstantinos Varelas, Duc Manh Nguyen, Tea Tušar, Dimo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Brockhoff, Nikolaus Hansen, and Anne Auger. 2019. COCO: The Large Scale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Black-Box Optimization Benchmarking (bbob-largescale) Test Suite.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arXiv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preprint arXiv:1903.06396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(2019).</w:t>
      </w:r>
    </w:p>
    <w:p>
      <w:pPr>
        <w:autoSpaceDN w:val="0"/>
        <w:autoSpaceDE w:val="0"/>
        <w:widowControl/>
        <w:spacing w:line="160" w:lineRule="exact" w:before="32" w:after="0"/>
        <w:ind w:left="308" w:right="72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[10]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Stanislav Fort and Stanislaw Jastrzebski. 2019. Large scale structure of neural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network loss landscapes.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Advances in Neural Information Processing Systems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32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(2019), 6709–6717.</w:t>
      </w:r>
    </w:p>
    <w:p>
      <w:pPr>
        <w:autoSpaceDN w:val="0"/>
        <w:autoSpaceDE w:val="0"/>
        <w:widowControl/>
        <w:spacing w:line="160" w:lineRule="exact" w:before="32" w:after="0"/>
        <w:ind w:left="308" w:right="72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Hervé Fournier and Olivier Teytaud. 2011. Lower bounds for comparison based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evolution strategies using vc-dimension and sign patterns.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Algorithmica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59, 3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(2011), 387–408.</w:t>
      </w:r>
    </w:p>
    <w:p>
      <w:pPr>
        <w:autoSpaceDN w:val="0"/>
        <w:tabs>
          <w:tab w:pos="308" w:val="left"/>
        </w:tabs>
        <w:autoSpaceDE w:val="0"/>
        <w:widowControl/>
        <w:spacing w:line="160" w:lineRule="exact" w:before="40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[12]</w:t>
      </w:r>
      <w:r>
        <w:rPr>
          <w:w w:val="98.72783933367047"/>
          <w:rFonts w:ascii="LinLibertineT" w:hAnsi="LinLibertineT" w:eastAsia="LinLibertineT"/>
          <w:b w:val="0"/>
          <w:i w:val="0"/>
          <w:color w:val="000000"/>
          <w:sz w:val="14"/>
        </w:rPr>
        <w:t xml:space="preserve"> David Ha and Jürgen Schmidhuber. 2018.</w:t>
      </w:r>
      <w:r>
        <w:rPr>
          <w:w w:val="98.72783933367047"/>
          <w:rFonts w:ascii="LinLibertineTI" w:hAnsi="LinLibertineTI" w:eastAsia="LinLibertineTI"/>
          <w:b w:val="0"/>
          <w:i/>
          <w:color w:val="000000"/>
          <w:sz w:val="14"/>
        </w:rPr>
        <w:t xml:space="preserve"> Recurrent world models facilitate policy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evolution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Technical Report 1809.01999. arXiv.org.</w:t>
      </w:r>
    </w:p>
    <w:p>
      <w:pPr>
        <w:autoSpaceDN w:val="0"/>
        <w:autoSpaceDE w:val="0"/>
        <w:widowControl/>
        <w:spacing w:line="162" w:lineRule="exact" w:before="32" w:after="0"/>
        <w:ind w:left="308" w:right="70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[13]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Nikolaus Hansen. 1996. Adapting Arbitrary Normal Mutation Distributions in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Evolution Strategies: The Covariance Matrix Adaptation.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IEEE International 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Conference on Evolutionary Computation, 1996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312–317.</w:t>
      </w:r>
    </w:p>
    <w:p>
      <w:pPr>
        <w:autoSpaceDN w:val="0"/>
        <w:tabs>
          <w:tab w:pos="308" w:val="left"/>
        </w:tabs>
        <w:autoSpaceDE w:val="0"/>
        <w:widowControl/>
        <w:spacing w:line="160" w:lineRule="exact" w:before="42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[14]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Nikolaus Hansen. 2019. A global surrogate assisted CMA-ES. In</w:t>
      </w:r>
      <w:r>
        <w:rPr>
          <w:w w:val="98.62725394112724"/>
          <w:rFonts w:ascii="LinLibertineTI" w:hAnsi="LinLibertineTI" w:eastAsia="LinLibertineTI"/>
          <w:b w:val="0"/>
          <w:i/>
          <w:color w:val="000000"/>
          <w:sz w:val="14"/>
        </w:rPr>
        <w:t xml:space="preserve"> Proceedings of the </w:t>
      </w:r>
      <w:r>
        <w:tab/>
      </w:r>
      <w:r>
        <w:rPr>
          <w:w w:val="98.87853349958148"/>
          <w:rFonts w:ascii="LinLibertineTI" w:hAnsi="LinLibertineTI" w:eastAsia="LinLibertineTI"/>
          <w:b w:val="0"/>
          <w:i/>
          <w:color w:val="000000"/>
          <w:sz w:val="14"/>
        </w:rPr>
        <w:t>Genetic and Evolutionary Computation Conference</w:t>
      </w:r>
      <w:r>
        <w:rPr>
          <w:w w:val="98.87853349958148"/>
          <w:rFonts w:ascii="LinLibertineT" w:hAnsi="LinLibertineT" w:eastAsia="LinLibertineT"/>
          <w:b w:val="0"/>
          <w:i w:val="0"/>
          <w:color w:val="000000"/>
          <w:sz w:val="14"/>
        </w:rPr>
        <w:t xml:space="preserve">. ACM, Prague Czech Republic,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664–672.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20" w:history="1">
          <w:r>
            <w:rPr>
              <w:rStyle w:val="Hyperlink"/>
            </w:rPr>
            <w:t xml:space="preserve">https://doi.org/10.1145/3321707.3321842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[15]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Nikolaus H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hyperlink r:id="rId20" w:history="1">
          <w:r>
            <w:rPr>
              <w:rStyle w:val="Hyperlink"/>
            </w:rPr>
            <w:t xml:space="preserve">ansen, Dirk V Arnold, and Anne Auger. </w:t>
          </w:r>
        </w:hyperlink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2015. Evolution strategies. In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Springer handbook of computational intelligence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Springer, 871–898.</w:t>
      </w: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Nikolaus Hansen, Anne Auger, Raymond Ros, Steffen Finck, and Petr Pošík.</w:t>
      </w:r>
    </w:p>
    <w:p>
      <w:pPr>
        <w:autoSpaceDN w:val="0"/>
        <w:autoSpaceDE w:val="0"/>
        <w:widowControl/>
        <w:spacing w:line="164" w:lineRule="exact" w:before="30" w:after="0"/>
        <w:ind w:left="308" w:right="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2010. Comparing results of 31 algorithms from the black-box optimization 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>benchmarking BBOB-2009. In</w:t>
      </w:r>
      <w:r>
        <w:rPr>
          <w:w w:val="98.62725394112724"/>
          <w:rFonts w:ascii="LinLibertineTI" w:hAnsi="LinLibertineTI" w:eastAsia="LinLibertineTI"/>
          <w:b w:val="0"/>
          <w:i/>
          <w:color w:val="000000"/>
          <w:sz w:val="14"/>
        </w:rPr>
        <w:t xml:space="preserve"> Proceedings of the 12th annual conference companion 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on Genetic and 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1689–1696.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[17]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Nikolaus Hansen, Steffen Finck, Raymond Ros, and Anne Auger. 2009.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Real-</w:t>
      </w:r>
    </w:p>
    <w:p>
      <w:pPr>
        <w:autoSpaceDN w:val="0"/>
        <w:autoSpaceDE w:val="0"/>
        <w:widowControl/>
        <w:spacing w:line="158" w:lineRule="exact" w:before="10" w:after="0"/>
        <w:ind w:left="308" w:right="0" w:firstLine="0"/>
        <w:jc w:val="left"/>
      </w:pPr>
      <w:r>
        <w:rPr>
          <w:w w:val="98.72783933367047"/>
          <w:rFonts w:ascii="LinLibertineTI" w:hAnsi="LinLibertineTI" w:eastAsia="LinLibertineTI"/>
          <w:b w:val="0"/>
          <w:i/>
          <w:color w:val="000000"/>
          <w:sz w:val="14"/>
        </w:rPr>
        <w:t>Parameter Black-Box Optimization Benchmarking 2009: Noiseless Functions Defini-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tions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Technical Report RR-6869. INRIA.</w:t>
      </w:r>
    </w:p>
    <w:p>
      <w:pPr>
        <w:autoSpaceDN w:val="0"/>
        <w:autoSpaceDE w:val="0"/>
        <w:widowControl/>
        <w:spacing w:line="160" w:lineRule="exact" w:before="32" w:after="0"/>
        <w:ind w:left="308" w:right="56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Nikolaus Hansen and Andreas Ostermeier. 2001. Completely Derandomized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Self-Adaptation in Evolution Strategies.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9, 2 (2001),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159–195.</w:t>
      </w:r>
    </w:p>
    <w:p>
      <w:pPr>
        <w:autoSpaceDN w:val="0"/>
        <w:tabs>
          <w:tab w:pos="308" w:val="left"/>
        </w:tabs>
        <w:autoSpaceDE w:val="0"/>
        <w:widowControl/>
        <w:spacing w:line="160" w:lineRule="exact" w:before="32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[19]</w:t>
      </w:r>
      <w:r>
        <w:rPr>
          <w:w w:val="98.77809797014508"/>
          <w:rFonts w:ascii="LinLibertineT" w:hAnsi="LinLibertineT" w:eastAsia="LinLibertineT"/>
          <w:b w:val="0"/>
          <w:i w:val="0"/>
          <w:color w:val="000000"/>
          <w:sz w:val="14"/>
        </w:rPr>
        <w:t xml:space="preserve"> Verena Heidrich-Meisner and Christian Igel. 2009. Neuroevolution strategies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episodic reinforcement learning.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Journal of Algorithms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64, 4 (2009), 152–168.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[20]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Christian Igel. 2003. Neuroevolution for Reinforcement Learning using Evolution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Strategies.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The 2003 Congress on Evolutionary Computation (CEC’03)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, Vol. 4.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IEEE, 2588–2595.</w:t>
      </w:r>
    </w:p>
    <w:p>
      <w:pPr>
        <w:autoSpaceDN w:val="0"/>
        <w:autoSpaceDE w:val="0"/>
        <w:widowControl/>
        <w:spacing w:line="158" w:lineRule="exact" w:before="34" w:after="0"/>
        <w:ind w:left="308" w:right="56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[21]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Jens Jägersküpper. 2006. How the (1+1)-ES using isotropic mutations minimizes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positive definite quadratic forms.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Theoretical Computer Science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361, 1 (2006),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38–56.</w:t>
      </w:r>
    </w:p>
    <w:p>
      <w:pPr>
        <w:autoSpaceDN w:val="0"/>
        <w:autoSpaceDE w:val="0"/>
        <w:widowControl/>
        <w:spacing w:line="160" w:lineRule="exact" w:before="32" w:after="0"/>
        <w:ind w:left="308" w:right="50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[22]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Ilya Loshchilov. 2014. A Computationally Efficient Limited Memory CMA-ES for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Large Scale Optimization.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Genetic and Evolutionary Computation Conference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ACM, 397–404.</w:t>
      </w:r>
    </w:p>
    <w:p>
      <w:pPr>
        <w:autoSpaceDN w:val="0"/>
        <w:autoSpaceDE w:val="0"/>
        <w:widowControl/>
        <w:spacing w:line="162" w:lineRule="exact" w:before="30" w:after="0"/>
        <w:ind w:left="308" w:right="58" w:hanging="3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Ilya Loshchilov, Tobias Glasmachers, and Hans-Georg Beyer. 2018. Large Scale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Black-box Optimization by Limited-Memory Matrix Adaptation.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IEEE Transac-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tions on 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99 (2018).</w:t>
      </w:r>
    </w:p>
    <w:p>
      <w:pPr>
        <w:autoSpaceDN w:val="0"/>
        <w:autoSpaceDE w:val="0"/>
        <w:widowControl/>
        <w:spacing w:line="162" w:lineRule="exact" w:before="30" w:after="0"/>
        <w:ind w:left="308" w:right="0" w:hanging="3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Mohammad Nabi Omidvar, Xiaodong Li, Yi Mei, and Xin Yao. 2013. Coopera-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tive co-evolution with differential grouping for large scale optimization.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IEEE 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Transactions on 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18, 3 (2013), 378–393.</w:t>
      </w:r>
    </w:p>
    <w:p>
      <w:pPr>
        <w:autoSpaceDN w:val="0"/>
        <w:autoSpaceDE w:val="0"/>
        <w:widowControl/>
        <w:spacing w:line="160" w:lineRule="exact" w:before="32" w:after="0"/>
        <w:ind w:left="308" w:right="0" w:hanging="3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[25]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Matthias Plappert, Rein Houthooft, Prafulla Dhariwal, Szymon Sidor, Richard Y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Chen, Xi Chen, Tamim Asfour, Pieter Abbeel, and Marcin Andrychowicz. 2017.</w:t>
      </w:r>
    </w:p>
    <w:p>
      <w:pPr>
        <w:autoSpaceDN w:val="0"/>
        <w:tabs>
          <w:tab w:pos="308" w:val="left"/>
        </w:tabs>
        <w:autoSpaceDE w:val="0"/>
        <w:widowControl/>
        <w:spacing w:line="158" w:lineRule="exact" w:before="44" w:after="0"/>
        <w:ind w:left="0" w:right="0" w:firstLine="0"/>
        <w:jc w:val="left"/>
      </w:pP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Parameter space noise for exploration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. Technical Report 1706.01905. arXiv.org.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[26]</w:t>
      </w:r>
      <w:r>
        <w:rPr>
          <w:w w:val="98.62725394112724"/>
          <w:rFonts w:ascii="LinLibertineT" w:hAnsi="LinLibertineT" w:eastAsia="LinLibertineT"/>
          <w:b w:val="0"/>
          <w:i w:val="0"/>
          <w:color w:val="000000"/>
          <w:sz w:val="14"/>
        </w:rPr>
        <w:t xml:space="preserve"> Ingo Rechenberg. 1973.</w:t>
      </w:r>
      <w:r>
        <w:rPr>
          <w:w w:val="98.62725394112724"/>
          <w:rFonts w:ascii="LinLibertineTI" w:hAnsi="LinLibertineTI" w:eastAsia="LinLibertineTI"/>
          <w:b w:val="0"/>
          <w:i/>
          <w:color w:val="000000"/>
          <w:sz w:val="14"/>
        </w:rPr>
        <w:t xml:space="preserve"> Evolutionsstrategie: Optimierung technischer Systeme nach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Prinzipien der biologischen Evolution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Frommann-Holzboog.</w:t>
      </w:r>
    </w:p>
    <w:p>
      <w:pPr>
        <w:sectPr>
          <w:type w:val="continuous"/>
          <w:pgSz w:w="12240" w:h="15840"/>
          <w:pgMar w:top="612" w:right="1032" w:bottom="106" w:left="1076" w:header="720" w:footer="720" w:gutter="0"/>
          <w:cols w:space="720" w:num="2" w:equalWidth="0">
            <w:col w:w="4876" w:space="0"/>
            <w:col w:w="5255" w:space="0"/>
            <w:col w:w="4888" w:space="0"/>
            <w:col w:w="5258" w:space="0"/>
            <w:col w:w="10146" w:space="0"/>
            <w:col w:w="4876" w:space="0"/>
            <w:col w:w="5268" w:space="0"/>
            <w:col w:w="10144" w:space="0"/>
            <w:col w:w="4888" w:space="0"/>
            <w:col w:w="5259" w:space="0"/>
            <w:col w:w="10148" w:space="0"/>
            <w:col w:w="4890" w:space="0"/>
            <w:col w:w="5258" w:space="0"/>
            <w:col w:w="4888" w:space="0"/>
            <w:col w:w="5271" w:space="0"/>
            <w:col w:w="10160" w:space="0"/>
            <w:col w:w="4886" w:space="0"/>
            <w:col w:w="5258" w:space="0"/>
            <w:col w:w="10144" w:space="0"/>
            <w:col w:w="4886" w:space="0"/>
            <w:col w:w="5258" w:space="0"/>
            <w:col w:w="10144" w:space="0"/>
            <w:col w:w="4890" w:space="0"/>
            <w:col w:w="525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349</w:t>
      </w:r>
    </w:p>
    <w:sectPr w:rsidR="00FC693F" w:rsidRPr="0006063C" w:rsidSect="00034616">
      <w:type w:val="nextColumn"/>
      <w:pgSz w:w="12240" w:h="15840"/>
      <w:pgMar w:top="612" w:right="1032" w:bottom="106" w:left="1076" w:header="720" w:footer="720" w:gutter="0"/>
      <w:cols w:space="720" w:num="2" w:equalWidth="0">
        <w:col w:w="4876" w:space="0"/>
        <w:col w:w="5255" w:space="0"/>
        <w:col w:w="4888" w:space="0"/>
        <w:col w:w="5258" w:space="0"/>
        <w:col w:w="10146" w:space="0"/>
        <w:col w:w="4876" w:space="0"/>
        <w:col w:w="5268" w:space="0"/>
        <w:col w:w="10144" w:space="0"/>
        <w:col w:w="4888" w:space="0"/>
        <w:col w:w="5259" w:space="0"/>
        <w:col w:w="10148" w:space="0"/>
        <w:col w:w="4890" w:space="0"/>
        <w:col w:w="5258" w:space="0"/>
        <w:col w:w="4888" w:space="0"/>
        <w:col w:w="5271" w:space="0"/>
        <w:col w:w="10160" w:space="0"/>
        <w:col w:w="4886" w:space="0"/>
        <w:col w:w="5258" w:space="0"/>
        <w:col w:w="10144" w:space="0"/>
        <w:col w:w="4886" w:space="0"/>
        <w:col w:w="5258" w:space="0"/>
        <w:col w:w="10144" w:space="0"/>
        <w:col w:w="4890" w:space="0"/>
        <w:col w:w="5258" w:space="0"/>
        <w:col w:w="1014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12290.3528764" TargetMode="External"/><Relationship Id="rId10" Type="http://schemas.openxmlformats.org/officeDocument/2006/relationships/hyperlink" Target="https://www.ray.io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https://numbbo.github.io/data-archive/bbob/" TargetMode="External"/><Relationship Id="rId16" Type="http://schemas.openxmlformats.org/officeDocument/2006/relationships/hyperlink" Target="https://arxiv.org/abs/arXiv:1606.01540" TargetMode="External"/><Relationship Id="rId17" Type="http://schemas.openxmlformats.org/officeDocument/2006/relationships/hyperlink" Target="http://pybullet.org" TargetMode="External"/><Relationship Id="rId18" Type="http://schemas.openxmlformats.org/officeDocument/2006/relationships/hyperlink" Target="https://exascale.info/assets/pdf/cuccu2019aamas.pdf" TargetMode="External"/><Relationship Id="rId19" Type="http://schemas.openxmlformats.org/officeDocument/2006/relationships/hyperlink" Target="https://doi.org/10.1145/1327452.1327492" TargetMode="External"/><Relationship Id="rId20" Type="http://schemas.openxmlformats.org/officeDocument/2006/relationships/hyperlink" Target="https://doi.org/10.1145/3321707.33218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