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82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0"/>
        <w:ind w:left="166" w:right="0" w:firstLine="0"/>
        <w:jc w:val="left"/>
      </w:pPr>
      <w:r>
        <w:rPr>
          <w:rFonts w:ascii="BeraSans" w:hAnsi="BeraSans" w:eastAsia="BeraSans"/>
          <w:b/>
          <w:i w:val="0"/>
          <w:color w:val="000000"/>
          <w:sz w:val="26"/>
        </w:rPr>
        <w:t>Tensor Network Quantum Virtual Machine for Simulating</w:t>
      </w:r>
    </w:p>
    <w:p>
      <w:pPr>
        <w:autoSpaceDN w:val="0"/>
        <w:autoSpaceDE w:val="0"/>
        <w:widowControl/>
        <w:spacing w:line="260" w:lineRule="exact" w:before="96" w:after="0"/>
        <w:ind w:left="174" w:right="0" w:firstLine="0"/>
        <w:jc w:val="left"/>
      </w:pPr>
      <w:r>
        <w:rPr>
          <w:rFonts w:ascii="BeraSans" w:hAnsi="BeraSans" w:eastAsia="BeraSans"/>
          <w:b/>
          <w:i w:val="0"/>
          <w:color w:val="000000"/>
          <w:sz w:val="26"/>
        </w:rPr>
        <w:t>Quantum Circuits at Exascale</w:t>
      </w:r>
    </w:p>
    <w:p>
      <w:pPr>
        <w:autoSpaceDN w:val="0"/>
        <w:autoSpaceDE w:val="0"/>
        <w:widowControl/>
        <w:spacing w:line="214" w:lineRule="exact" w:before="230" w:after="0"/>
        <w:ind w:left="0" w:right="0" w:firstLine="0"/>
        <w:jc w:val="center"/>
      </w:pPr>
      <w:r>
        <w:rPr>
          <w:w w:val="97.81454259699042"/>
          <w:rFonts w:ascii="BeraSans" w:hAnsi="BeraSans" w:eastAsia="BeraSans"/>
          <w:b w:val="0"/>
          <w:i w:val="0"/>
          <w:color w:val="000000"/>
          <w:sz w:val="22"/>
        </w:rPr>
        <w:t>THIEN NGUYEN,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Quantum Computing Institute, Oak Ridge National Laboratory, USA and Com-</w:t>
      </w:r>
    </w:p>
    <w:p>
      <w:pPr>
        <w:autoSpaceDN w:val="0"/>
        <w:autoSpaceDE w:val="0"/>
        <w:widowControl/>
        <w:spacing w:line="186" w:lineRule="exact" w:before="104" w:after="0"/>
        <w:ind w:left="1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puter Science and Mathematics Division, Oak Ridge National Laboratory, USA</w:t>
      </w:r>
    </w:p>
    <w:p>
      <w:pPr>
        <w:autoSpaceDN w:val="0"/>
        <w:autoSpaceDE w:val="0"/>
        <w:widowControl/>
        <w:spacing w:line="214" w:lineRule="exact" w:before="82" w:after="0"/>
        <w:ind w:left="0" w:right="0" w:firstLine="0"/>
        <w:jc w:val="center"/>
      </w:pPr>
      <w:r>
        <w:rPr>
          <w:w w:val="97.81454259699042"/>
          <w:rFonts w:ascii="BeraSans" w:hAnsi="BeraSans" w:eastAsia="BeraSans"/>
          <w:b w:val="0"/>
          <w:i w:val="0"/>
          <w:color w:val="000000"/>
          <w:sz w:val="22"/>
        </w:rPr>
        <w:t>DMITRY LYAKH,</w:t>
      </w:r>
      <w:r>
        <w:rPr>
          <w:w w:val="98.92571767171225"/>
          <w:rFonts w:ascii="BeraSerif" w:hAnsi="BeraSerif" w:eastAsia="BeraSerif"/>
          <w:b w:val="0"/>
          <w:i w:val="0"/>
          <w:color w:val="000000"/>
          <w:sz w:val="18"/>
        </w:rPr>
        <w:t xml:space="preserve"> Quantum Computing Institute, Oak Ridge National Laboratory, USA and National</w:t>
      </w:r>
    </w:p>
    <w:p>
      <w:pPr>
        <w:autoSpaceDN w:val="0"/>
        <w:autoSpaceDE w:val="0"/>
        <w:widowControl/>
        <w:spacing w:line="294" w:lineRule="exact" w:before="0" w:after="0"/>
        <w:ind w:left="174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Center for Computational Sciences, Oak Ridge National Laboratory, USA </w:t>
      </w:r>
      <w:r>
        <w:br/>
      </w:r>
      <w:r>
        <w:rPr>
          <w:w w:val="97.81454259699042"/>
          <w:rFonts w:ascii="BeraSans" w:hAnsi="BeraSans" w:eastAsia="BeraSans"/>
          <w:b w:val="0"/>
          <w:i w:val="0"/>
          <w:color w:val="000000"/>
          <w:sz w:val="22"/>
        </w:rPr>
        <w:t>EUGENE DUMITRESCU,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Quantum Computing Institute, Oak Ridge National Laboratory, USA</w:t>
      </w:r>
    </w:p>
    <w:p>
      <w:pPr>
        <w:autoSpaceDN w:val="0"/>
        <w:autoSpaceDE w:val="0"/>
        <w:widowControl/>
        <w:spacing w:line="292" w:lineRule="exact" w:before="0" w:after="0"/>
        <w:ind w:left="166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Computational Sciences and Engineering Division, Oak Ridge National Laboratory, USA </w:t>
      </w:r>
      <w:r>
        <w:rPr>
          <w:w w:val="97.81454259699042"/>
          <w:rFonts w:ascii="BeraSans" w:hAnsi="BeraSans" w:eastAsia="BeraSans"/>
          <w:b w:val="0"/>
          <w:i w:val="0"/>
          <w:color w:val="000000"/>
          <w:sz w:val="22"/>
        </w:rPr>
        <w:t>DAVID CLARK,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NVIDIA Corp., USA </w:t>
      </w:r>
      <w:r>
        <w:br/>
      </w:r>
      <w:r>
        <w:rPr>
          <w:w w:val="97.81454259699042"/>
          <w:rFonts w:ascii="BeraSans" w:hAnsi="BeraSans" w:eastAsia="BeraSans"/>
          <w:b w:val="0"/>
          <w:i w:val="0"/>
          <w:color w:val="000000"/>
          <w:sz w:val="22"/>
        </w:rPr>
        <w:t>JEFF LARKIN,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NVIDIA Corp., USA </w:t>
      </w:r>
      <w:r>
        <w:br/>
      </w:r>
      <w:r>
        <w:rPr>
          <w:w w:val="97.81454259699042"/>
          <w:rFonts w:ascii="BeraSans" w:hAnsi="BeraSans" w:eastAsia="BeraSans"/>
          <w:b w:val="0"/>
          <w:i w:val="0"/>
          <w:color w:val="000000"/>
          <w:sz w:val="22"/>
        </w:rPr>
        <w:t>ALEXANDER MCCASKEY,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Quantum Computing Institute, Oak Ridge National Laboratory, USA</w:t>
      </w:r>
    </w:p>
    <w:p>
      <w:pPr>
        <w:autoSpaceDN w:val="0"/>
        <w:autoSpaceDE w:val="0"/>
        <w:widowControl/>
        <w:spacing w:line="186" w:lineRule="exact" w:before="102" w:after="0"/>
        <w:ind w:left="1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and Computer Science and Mathematics Division, Oak Ridge National Laboratory, USA</w:t>
      </w:r>
    </w:p>
    <w:p>
      <w:pPr>
        <w:autoSpaceDN w:val="0"/>
        <w:autoSpaceDE w:val="0"/>
        <w:widowControl/>
        <w:spacing w:line="230" w:lineRule="exact" w:before="140" w:after="0"/>
        <w:ind w:left="174" w:right="170" w:hanging="6"/>
        <w:jc w:val="both"/>
      </w:pP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The numerical simulation of quantum circuits is an indispensable tool for development, verification and validation </w:t>
      </w:r>
      <w:r>
        <w:rPr>
          <w:w w:val="101.87497138977051"/>
          <w:rFonts w:ascii="BeraSerif" w:hAnsi="BeraSerif" w:eastAsia="BeraSerif"/>
          <w:b w:val="0"/>
          <w:i w:val="0"/>
          <w:color w:val="000000"/>
          <w:sz w:val="16"/>
        </w:rPr>
        <w:t xml:space="preserve">of hybrid quantum-classical algorithms intended for near-term quantum co-processors. The emergence of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exascale high-performance computing (HPC) platforms presents new opportunities for pushing the boundaries </w:t>
      </w:r>
      <w:r>
        <w:rPr>
          <w:w w:val="101.87497138977051"/>
          <w:rFonts w:ascii="BeraSerif" w:hAnsi="BeraSerif" w:eastAsia="BeraSerif"/>
          <w:b w:val="0"/>
          <w:i w:val="0"/>
          <w:color w:val="000000"/>
          <w:sz w:val="16"/>
        </w:rPr>
        <w:t xml:space="preserve">of quantum circuit simulation. We present a modernized version of the Tensor Network Quantum Virtual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Machine (TNQVM) which serves as the quantum circuit simulation backend in the eXtreme-scale ACCelerator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(XACC) framework. The new version is based on the scalable tensor network processing library ExaTN (Exascale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Tensor Networks). It provides multiple configurable quantum circuit simulators which perform either an exact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quantum circuit simulation via the full tensor network contraction or an approximate simulation via a suitably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chosen tensor factorization scheme. Upon necessity, stochastic noise modeling from real quantum processors is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>incorporated into the simulations by modeling quantum channels with Kraus tensors. By combining the portable</w:t>
      </w:r>
    </w:p>
    <w:p>
      <w:pPr>
        <w:autoSpaceDN w:val="0"/>
        <w:autoSpaceDE w:val="0"/>
        <w:widowControl/>
        <w:spacing w:line="210" w:lineRule="exact" w:before="210" w:after="0"/>
        <w:ind w:left="174" w:right="174" w:firstLine="0"/>
        <w:jc w:val="both"/>
      </w:pPr>
      <w:r>
        <w:rPr>
          <w:w w:val="102.31902939932687"/>
          <w:rFonts w:ascii="BeraSerif" w:hAnsi="BeraSerif" w:eastAsia="BeraSerif"/>
          <w:b w:val="0"/>
          <w:i w:val="0"/>
          <w:color w:val="000000"/>
          <w:sz w:val="14"/>
        </w:rPr>
        <w:t xml:space="preserve">This manuscript has been authored by UT-Battelle, LLC under Contract No. DE-AC05-00OR22725 with the U.S. Department </w:t>
      </w:r>
      <w:r>
        <w:rPr>
          <w:w w:val="102.83088002886092"/>
          <w:rFonts w:ascii="BeraSerif" w:hAnsi="BeraSerif" w:eastAsia="BeraSerif"/>
          <w:b w:val="0"/>
          <w:i w:val="0"/>
          <w:color w:val="000000"/>
          <w:sz w:val="14"/>
        </w:rPr>
        <w:t xml:space="preserve">of Energy. The United States Government retains and the publisher, by accepting the article for publication, acknowledges </w:t>
      </w:r>
      <w:r>
        <w:rPr>
          <w:w w:val="102.21635273524694"/>
          <w:rFonts w:ascii="BeraSerif" w:hAnsi="BeraSerif" w:eastAsia="BeraSerif"/>
          <w:b w:val="0"/>
          <w:i w:val="0"/>
          <w:color w:val="000000"/>
          <w:sz w:val="14"/>
        </w:rPr>
        <w:t xml:space="preserve">that the United States Government retains a non-exclusive, paid-up, irrevocable, world-wide license to publish or reproduce </w:t>
      </w:r>
      <w:r>
        <w:rPr>
          <w:w w:val="102.42160388401575"/>
          <w:rFonts w:ascii="BeraSerif" w:hAnsi="BeraSerif" w:eastAsia="BeraSerif"/>
          <w:b w:val="0"/>
          <w:i w:val="0"/>
          <w:color w:val="000000"/>
          <w:sz w:val="14"/>
        </w:rPr>
        <w:t xml:space="preserve">the published form of this manuscript, or allow others to do so, for United States Government purposes. The Department of </w:t>
      </w:r>
      <w:r>
        <w:rPr>
          <w:w w:val="101.90769604274206"/>
          <w:rFonts w:ascii="BeraSerif" w:hAnsi="BeraSerif" w:eastAsia="BeraSerif"/>
          <w:b w:val="0"/>
          <w:i w:val="0"/>
          <w:color w:val="000000"/>
          <w:sz w:val="14"/>
        </w:rPr>
        <w:t xml:space="preserve">Energy will provide public access to these results of federally sponsored research in accordance with the DOE Public Access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Plan. (http://energy.gov/downloads/doe-public-access-plan).</w:t>
      </w:r>
    </w:p>
    <w:p>
      <w:pPr>
        <w:autoSpaceDN w:val="0"/>
        <w:autoSpaceDE w:val="0"/>
        <w:widowControl/>
        <w:spacing w:line="208" w:lineRule="exact" w:before="0" w:after="0"/>
        <w:ind w:left="174" w:right="160" w:firstLine="0"/>
        <w:jc w:val="both"/>
      </w:pPr>
      <w:r>
        <w:rPr>
          <w:w w:val="101.90769604274206"/>
          <w:rFonts w:ascii="BeraSerif" w:hAnsi="BeraSerif" w:eastAsia="BeraSerif"/>
          <w:b w:val="0"/>
          <w:i w:val="0"/>
          <w:color w:val="000000"/>
          <w:sz w:val="14"/>
        </w:rPr>
        <w:t xml:space="preserve">Authors’ addresses: Thien Nguyen, nguyentm@ornl.gov, Quantum Computing Institute, Oak Ridge National Laboratory, Oak 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Ridge, TN, USA and Computer Science and Mathematics Division, Oak Ridge National Laboratory, Oak Ridge, TN, USA; </w:t>
      </w:r>
      <w:r>
        <w:rPr>
          <w:w w:val="102.57528168814522"/>
          <w:rFonts w:ascii="BeraSerif" w:hAnsi="BeraSerif" w:eastAsia="BeraSerif"/>
          <w:b w:val="0"/>
          <w:i w:val="0"/>
          <w:color w:val="000000"/>
          <w:sz w:val="14"/>
        </w:rPr>
        <w:t xml:space="preserve">Dmitry Lyakh, Quantum Computing Institute, Oak Ridge National Laboratory, Oak Ridge, TN, USA and National Center for </w:t>
      </w:r>
      <w:r>
        <w:rPr>
          <w:w w:val="103.39100020272392"/>
          <w:rFonts w:ascii="BeraSerif" w:hAnsi="BeraSerif" w:eastAsia="BeraSerif"/>
          <w:b w:val="0"/>
          <w:i w:val="0"/>
          <w:color w:val="000000"/>
          <w:sz w:val="14"/>
        </w:rPr>
        <w:t xml:space="preserve">Computational Sciences, Oak Ridge National Laboratory, Oak Ridge, TN, USA; Eugene Dumitrescu, Quantum Computing </w:t>
      </w:r>
      <w:r>
        <w:rPr>
          <w:w w:val="102.83088002886092"/>
          <w:rFonts w:ascii="BeraSerif" w:hAnsi="BeraSerif" w:eastAsia="BeraSerif"/>
          <w:b w:val="0"/>
          <w:i w:val="0"/>
          <w:color w:val="000000"/>
          <w:sz w:val="14"/>
        </w:rPr>
        <w:t xml:space="preserve">Institute, Oak Ridge National Laboratory, Oak Ridge, TN, USA and Computational Sciences and Engineering Division, Oak 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Ridge National Laboratory, Oak Ridge, TN, USA; David Clark, NVIDIA Corp., Santa Clara, CA, USA; Jeff Larkin, NVIDIA 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Corp., Santa Clara, CA, USA; Alexander McCaskey, mccaskeyaj@ornl.gov, Quantum Computing Institute, Oak Ridge National 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Laboratory, Oak Ridge, TN, USA and Computer Science and Mathematics Division, Oak Ridge National Laboratory, Oak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Ridge, TN, USA.</w:t>
      </w:r>
    </w:p>
    <w:p>
      <w:pPr>
        <w:autoSpaceDN w:val="0"/>
        <w:autoSpaceDE w:val="0"/>
        <w:widowControl/>
        <w:spacing w:line="208" w:lineRule="exact" w:before="244" w:after="0"/>
        <w:ind w:left="174" w:right="174" w:firstLine="0"/>
        <w:jc w:val="both"/>
      </w:pPr>
      <w:r>
        <w:rPr>
          <w:w w:val="102.16497693743025"/>
          <w:rFonts w:ascii="BeraSerif" w:hAnsi="BeraSerif" w:eastAsia="BeraSerif"/>
          <w:b w:val="0"/>
          <w:i w:val="0"/>
          <w:color w:val="000000"/>
          <w:sz w:val="14"/>
        </w:rPr>
        <w:t xml:space="preserve">ACM acknowledges that this contribution was authored or co-authored by an employee, contractor, or affiliate of the United </w:t>
      </w:r>
      <w:r>
        <w:rPr>
          <w:w w:val="101.95920126778739"/>
          <w:rFonts w:ascii="BeraSerif" w:hAnsi="BeraSerif" w:eastAsia="BeraSerif"/>
          <w:b w:val="0"/>
          <w:i w:val="0"/>
          <w:color w:val="000000"/>
          <w:sz w:val="14"/>
        </w:rPr>
        <w:t xml:space="preserve">States government. As such, the United States government retains a nonexclusive, royalty-free right to publish or reproduce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this article, or to allow others to do so, for government purposes only.</w:t>
      </w:r>
    </w:p>
    <w:p>
      <w:pPr>
        <w:autoSpaceDN w:val="0"/>
        <w:autoSpaceDE w:val="0"/>
        <w:widowControl/>
        <w:spacing w:line="148" w:lineRule="exact" w:before="82" w:after="0"/>
        <w:ind w:left="160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© 2022 Association for Computing Machinery.</w:t>
      </w:r>
    </w:p>
    <w:p>
      <w:pPr>
        <w:autoSpaceDN w:val="0"/>
        <w:autoSpaceDE w:val="0"/>
        <w:widowControl/>
        <w:spacing w:line="208" w:lineRule="exact" w:before="2" w:after="0"/>
        <w:ind w:left="174" w:right="6768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2643-6817/2022/7-ART $15.00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https://doi.org/10.1145/3547334</w:t>
          </w:r>
        </w:hyperlink>
      </w:r>
    </w:p>
    <w:p>
      <w:pPr>
        <w:autoSpaceDN w:val="0"/>
        <w:autoSpaceDE w:val="0"/>
        <w:widowControl/>
        <w:spacing w:line="150" w:lineRule="exact" w:before="340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1044" w:right="1440" w:bottom="1138" w:left="1440" w:header="720" w:footer="720" w:gutter="0"/>
          <w:cols w:space="720" w:num="1" w:equalWidth="0"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2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76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230" w:lineRule="exact" w:before="256" w:after="0"/>
        <w:ind w:left="172" w:right="0" w:hanging="6"/>
        <w:jc w:val="left"/>
      </w:pP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XACC quantum programming frontend and the scalable ExaTN numerical processing backend, we introduce an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end-to-end virtual quantum development environment which can scale from laptops to future exascale platforms. </w:t>
      </w:r>
      <w:r>
        <w:rPr>
          <w:w w:val="101.87497138977051"/>
          <w:rFonts w:ascii="BeraSerif" w:hAnsi="BeraSerif" w:eastAsia="BeraSerif"/>
          <w:b w:val="0"/>
          <w:i w:val="0"/>
          <w:color w:val="000000"/>
          <w:sz w:val="16"/>
        </w:rPr>
        <w:t xml:space="preserve">We report initial benchmarks of our framework which include a demonstration of the distributed execution, </w:t>
      </w:r>
      <w:r>
        <w:rPr>
          <w:w w:val="101.87497138977051"/>
          <w:rFonts w:ascii="BeraSerif" w:hAnsi="BeraSerif" w:eastAsia="BeraSerif"/>
          <w:b w:val="0"/>
          <w:i w:val="0"/>
          <w:color w:val="000000"/>
          <w:sz w:val="16"/>
        </w:rPr>
        <w:t xml:space="preserve">incorporation of quantum decoherence models, and simulation of the random quantum circuits used for the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>certification of quantum supremacy on Google’s Sycamore superconducting architecture.</w:t>
      </w:r>
    </w:p>
    <w:p>
      <w:pPr>
        <w:autoSpaceDN w:val="0"/>
        <w:tabs>
          <w:tab w:pos="496" w:val="left"/>
        </w:tabs>
        <w:autoSpaceDE w:val="0"/>
        <w:widowControl/>
        <w:spacing w:line="198" w:lineRule="exact" w:before="290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1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INTRODUCTION</w:t>
      </w:r>
    </w:p>
    <w:p>
      <w:pPr>
        <w:autoSpaceDN w:val="0"/>
        <w:autoSpaceDE w:val="0"/>
        <w:widowControl/>
        <w:spacing w:line="252" w:lineRule="exact" w:before="62" w:after="0"/>
        <w:ind w:left="168" w:right="144" w:firstLine="6"/>
        <w:jc w:val="left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Quantum circuit simulation on classical computers is an important tool for development, verification,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validation, and analysis of quantum algorithms in the noisy intermediate-scale quantum (NISQ)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regime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33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There exist a wide variety of simulation techniques that have been developed for this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purpose, ranging from the state vector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10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17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19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or density matrix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23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simulators to Clifford-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based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–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8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13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and tensor-based simulators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20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24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–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34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37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38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In particular, the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network based techniques have proven their power in constructing effective simulators of rather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large quantum circuits with memory requirements that scale in accordance with the quantum state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entanglement properties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34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More generally, tensor processing has been recognized as a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computing technique applicable to many scientific and engineering domains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14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18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35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36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] that has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resulted in highly-optimized software leveraging the state-of-the-art classical hardware capabilities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to simulate complex physical phenomena [32].</w:t>
      </w:r>
    </w:p>
    <w:p>
      <w:pPr>
        <w:autoSpaceDN w:val="0"/>
        <w:autoSpaceDE w:val="0"/>
        <w:widowControl/>
        <w:spacing w:line="252" w:lineRule="exact" w:before="0" w:after="0"/>
        <w:ind w:left="166" w:right="144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The tensor network quantum virtual machine (TNQVM) was first introduced in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as a tensor-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network-based quantum circuit simulation back-end for the XACC framework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27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The original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implementation leveraged the matrix product state (MPS) representation of the quantum circuit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wave-function based on the data structures provided by the ITensor library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11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 — a popular library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that (at the time of implementation) only supported single-core CPU execution. In this work, we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present an enhanced TNQVM implementation with a direct focus on the modern HPC deployment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via the utilization of the state-of-the-art Exascale Tensor Networks (ExaTN) library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 as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computational backend. This re-architected TNQVM code runs on both CPU and GPU hardware,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supports multi-node, multi-GPU execution contexts. One of the primary drivers of this work is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need for a flexible high-performance simulator that can (1) extract experimentally verifiable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results from large quantum circuits, and (2) take full advantage of computing resources by devising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custom strategies for each simulation task and balance the workload (memory and compute) across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all available resources.</w:t>
      </w:r>
    </w:p>
    <w:p>
      <w:pPr>
        <w:autoSpaceDN w:val="0"/>
        <w:autoSpaceDE w:val="0"/>
        <w:widowControl/>
        <w:spacing w:line="252" w:lineRule="exact" w:before="0" w:after="0"/>
        <w:ind w:left="166" w:right="144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 network theory is a natural fit for large-scale quantum circuit simulations.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computers encode computation and information in an exponentially large tensor space which is not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directly accessible experimentally. One can only collect discrete observable statistics on a given 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 xml:space="preserve">quantum state (qubit measurement bit-strings, expectations values, etc.). The tensor network theory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provides the most natural way of dealing with the exact and approximate tensor representations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such exponentially large spaces, thereby enabling an efficient expression of the quantum state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observable quantities. Combined with a low-rank compression via low-order tensor factorizations,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this approach also becomes highly amenable to memory-bound flop-oriented compute platforms,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which most of the current HPC systems are. Thus, the main goal of the TNQVM code is to provide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 implementation of a set of tensor network algorithms which are well-suited for quantum circuit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simulations in different use case scenarios. All necessary construction, manipulation, and processing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of the derived tensor networks is automated via the ExaTN backend. Importantly, the ExaTN backend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also provides the foundation for the numerical processing workload optimization. Not only can we</w:t>
      </w:r>
    </w:p>
    <w:p>
      <w:pPr>
        <w:autoSpaceDN w:val="0"/>
        <w:autoSpaceDE w:val="0"/>
        <w:widowControl/>
        <w:spacing w:line="150" w:lineRule="exact" w:before="324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4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80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252" w:lineRule="exact" w:before="252" w:after="0"/>
        <w:ind w:left="174" w:right="144" w:firstLine="0"/>
        <w:jc w:val="left"/>
      </w:pP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>describe quantum circuits in various tensor network forms, such as matrix product state (MPS)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30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],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tensor tree network (TTN)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], etc., but we can also delegate the runtime execution optimization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to ExaTN where it can decompose and schedule the tensor processing tasks across all available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resources, including multi-core CPUs, GPUs, and potentially more specialized accelerators (details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of the ExaTN library will be described in an upcoming publication).</w:t>
      </w:r>
    </w:p>
    <w:p>
      <w:pPr>
        <w:autoSpaceDN w:val="0"/>
        <w:tabs>
          <w:tab w:pos="374" w:val="left"/>
        </w:tabs>
        <w:autoSpaceDE w:val="0"/>
        <w:widowControl/>
        <w:spacing w:line="250" w:lineRule="exact" w:before="2" w:after="0"/>
        <w:ind w:left="174" w:right="144" w:firstLine="0"/>
        <w:jc w:val="left"/>
      </w:pP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this manuscript, we present implementation details and some preliminary results for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following TNQVM capabilities:</w:t>
      </w:r>
    </w:p>
    <w:p>
      <w:pPr>
        <w:autoSpaceDN w:val="0"/>
        <w:tabs>
          <w:tab w:pos="662" w:val="left"/>
        </w:tabs>
        <w:autoSpaceDE w:val="0"/>
        <w:widowControl/>
        <w:spacing w:line="106" w:lineRule="exact" w:before="386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 generic tensor network contraction based simulator that expresses and evaluates the entire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quantum circuit as a tensor network (including expectation values).</w:t>
      </w:r>
    </w:p>
    <w:p>
      <w:pPr>
        <w:autoSpaceDN w:val="0"/>
        <w:autoSpaceDE w:val="0"/>
        <w:widowControl/>
        <w:spacing w:line="332" w:lineRule="exact" w:before="64" w:after="0"/>
        <w:ind w:left="4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 distributed-memory MPS-factorized state-vector simulator.</w:t>
      </w:r>
    </w:p>
    <w:p>
      <w:pPr>
        <w:autoSpaceDN w:val="0"/>
        <w:tabs>
          <w:tab w:pos="662" w:val="left"/>
        </w:tabs>
        <w:autoSpaceDE w:val="0"/>
        <w:widowControl/>
        <w:spacing w:line="104" w:lineRule="exact" w:before="228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 density matrix (noisy) simulator based on the hierarchical tensor network or locally-purified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matrix product operator representations.</w:t>
      </w:r>
    </w:p>
    <w:p>
      <w:pPr>
        <w:autoSpaceDN w:val="0"/>
        <w:tabs>
          <w:tab w:pos="662" w:val="left"/>
        </w:tabs>
        <w:autoSpaceDE w:val="0"/>
        <w:widowControl/>
        <w:spacing w:line="104" w:lineRule="exact" w:before="294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An automatic divide-and-conquer tensor network reconstruction simulator based on arbitrary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tensor network factorization schemes with a target fidelity control.</w:t>
      </w:r>
    </w:p>
    <w:p>
      <w:pPr>
        <w:autoSpaceDN w:val="0"/>
        <w:autoSpaceDE w:val="0"/>
        <w:widowControl/>
        <w:spacing w:line="252" w:lineRule="exact" w:before="94" w:after="0"/>
        <w:ind w:left="166" w:right="144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We note that the generic tensor network contraction based simulator supports both noiseless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noisy simulations — we use tensor networks to represent either the state vector or density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matrix evolution, respectively. The noise-modelling operations expressed in terms of the channel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(Kraus) operators can be incorporated into the latter to mimic the hardware noise models. Similarly,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approximate tensor representations of pure or mixed quantum states, based on different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factorizations, are provided as alternative approaches geared towards larger-scale simulations.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essence, TNQVM provides a multi-modal simulation platform whereby one can quickly prototype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evaluate accuracy, runtime, parallelism, memory consumption, etc., of varying tensor-based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approaches for quantum circuit simulation, as well as execute the actual production runs 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workstations, HPC platforms and clouds.</w:t>
      </w:r>
    </w:p>
    <w:p>
      <w:pPr>
        <w:autoSpaceDN w:val="0"/>
        <w:autoSpaceDE w:val="0"/>
        <w:widowControl/>
        <w:spacing w:line="250" w:lineRule="exact" w:before="2" w:after="0"/>
        <w:ind w:left="174" w:right="0" w:firstLine="200"/>
        <w:jc w:val="left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Compared to many other available quantum circuit simulation platforms, the XACC-TNQVM-ExaTN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software stack offers unique features in terms of scalability, flexibility, extensibility, performance,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availability. There are not many quantum circuit simulators that have been rigorously tested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 a state-of-the-art HPC environment. For example, the Flexible Quantum Circuit (qFlex) Simu-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lator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37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38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and the QCMPS simulator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9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 have demonstrated scalability and accuracy on large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supercomputers for the contraction-based and MPS simulation approaches, respectively. However,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both of these simulators have been developed for rather specific and narrow use cases, not targeting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generic quantum circuit simulation workflows in a complete end-to-end quantum programming stack.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Moreover, most tensor-based simulators, including qFlex and QCMPS, tend to associate their internal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representation to a particular form of tensor networks as opposed to the multi-modal flexibility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of TNQVM. Very recently, classical simulations of the random quantum circuits used in Google’s 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>quantum supremacy experiments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5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 xml:space="preserve">] have been revisited with new simulators leveraging a powerful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tensor contraction path optimization algorithm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]. The QUIMB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15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and ACQDP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20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 simulators 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have positioned themselves as potentially the fastest simulators for the quantum supremacy circuits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on distributed HPC platforms and clouds. Although they can be used for simulating other quantum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computing circuits as well, their main focus has so far been on the direct tensor network contraction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technique and noiseless amplitudes. Similarly, two other recent quantum circuit simulators based 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tensor network representations, Jet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39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and QTensor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24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], have also focused on the direct tensor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network contraction algorithm. In particular, QTensor has demonstrated significant GPU acceleration</w:t>
      </w:r>
    </w:p>
    <w:p>
      <w:pPr>
        <w:autoSpaceDN w:val="0"/>
        <w:autoSpaceDE w:val="0"/>
        <w:widowControl/>
        <w:spacing w:line="150" w:lineRule="exact" w:before="346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4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72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252" w:lineRule="exact" w:before="238" w:after="0"/>
        <w:ind w:left="174" w:right="174" w:firstLine="0"/>
        <w:jc w:val="both"/>
      </w:pPr>
      <w:r>
        <w:rPr>
          <w:w w:val="98.7248526679145"/>
          <w:rFonts w:ascii="BeraSerif" w:hAnsi="BeraSerif" w:eastAsia="BeraSerif"/>
          <w:b w:val="0"/>
          <w:i w:val="0"/>
          <w:color w:val="000000"/>
          <w:sz w:val="18"/>
        </w:rPr>
        <w:t xml:space="preserve">for the Quantum Approximate Optimization Algorithm (QAOA) via the new NVIDIA cuPy backend.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contrast, to further boost its GPU performance, TNQVM has been integrated with the cuTensorNet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library from the NVIDIA cuQuantum framework [29].</w:t>
      </w:r>
    </w:p>
    <w:p>
      <w:pPr>
        <w:autoSpaceDN w:val="0"/>
        <w:autoSpaceDE w:val="0"/>
        <w:widowControl/>
        <w:spacing w:line="252" w:lineRule="exact" w:before="0" w:after="0"/>
        <w:ind w:left="174" w:right="174" w:firstLine="20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Last but not least, we note that the modular full-stack integration between XACC, TNQVM, and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ExaTN allows us to support multiple quantum programming languages and run on different classical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compute platforms seamlessly. This full-stack integration proves beneficial, especially for the TNQVM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noisy simulators, which can query device noise models directly from the cloud-based hardware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providers, e.g., IBM, using the XACC remote connection capabilities. Finally, we also want to stress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our commitment to open-source development principles. All of our development activities and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implementations are in the public domain under permissive licenses.</w:t>
      </w:r>
    </w:p>
    <w:p>
      <w:pPr>
        <w:autoSpaceDN w:val="0"/>
        <w:autoSpaceDE w:val="0"/>
        <w:widowControl/>
        <w:spacing w:line="186" w:lineRule="exact" w:before="64" w:after="0"/>
        <w:ind w:left="3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To summarize, this work makes the following contributions:</w:t>
      </w:r>
    </w:p>
    <w:p>
      <w:pPr>
        <w:autoSpaceDN w:val="0"/>
        <w:tabs>
          <w:tab w:pos="662" w:val="left"/>
        </w:tabs>
        <w:autoSpaceDE w:val="0"/>
        <w:widowControl/>
        <w:spacing w:line="106" w:lineRule="exact" w:before="340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We present an end-to-end C++ system for quantum circuit expression and simulation with a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full support of heterogeneous HPC platforms.</w:t>
      </w:r>
    </w:p>
    <w:p>
      <w:pPr>
        <w:autoSpaceDN w:val="0"/>
        <w:tabs>
          <w:tab w:pos="662" w:val="left"/>
        </w:tabs>
        <w:autoSpaceDE w:val="0"/>
        <w:widowControl/>
        <w:spacing w:line="106" w:lineRule="exact" w:before="290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We introduce multiple levels of parallelization in tensor network processing via our new ExaTN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library.</w:t>
      </w:r>
    </w:p>
    <w:p>
      <w:pPr>
        <w:autoSpaceDN w:val="0"/>
        <w:tabs>
          <w:tab w:pos="662" w:val="left"/>
        </w:tabs>
        <w:autoSpaceDE w:val="0"/>
        <w:widowControl/>
        <w:spacing w:line="202" w:lineRule="exact" w:before="196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We design and implement a scheme to parallelize MPS simulations across MPS sites. This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scheme differs from the prior work which parallelized each contraction in such simulations.</w:t>
      </w: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We provide the ability to import and incorporate device noise models into quantum circuit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simulations.</w:t>
      </w:r>
    </w:p>
    <w:p>
      <w:pPr>
        <w:autoSpaceDN w:val="0"/>
        <w:tabs>
          <w:tab w:pos="662" w:val="left"/>
        </w:tabs>
        <w:autoSpaceDE w:val="0"/>
        <w:widowControl/>
        <w:spacing w:line="104" w:lineRule="exact" w:before="294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We provide the capability of performing locally-purified MPO simulations with explicit noise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modeling.</w:t>
      </w:r>
    </w:p>
    <w:p>
      <w:pPr>
        <w:autoSpaceDN w:val="0"/>
        <w:autoSpaceDE w:val="0"/>
        <w:widowControl/>
        <w:spacing w:line="178" w:lineRule="exact" w:before="220" w:after="0"/>
        <w:ind w:left="656" w:right="0" w:hanging="172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We introduce a novel general tensor network reconstruction (ExaTN-Gen) simulation method.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To the best of our knowledge, we are the first to employ this technique for quantum circuit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simulations.</w:t>
      </w:r>
    </w:p>
    <w:p>
      <w:pPr>
        <w:autoSpaceDN w:val="0"/>
        <w:autoSpaceDE w:val="0"/>
        <w:widowControl/>
        <w:spacing w:line="252" w:lineRule="exact" w:before="48" w:after="0"/>
        <w:ind w:left="174" w:right="174" w:firstLine="200"/>
        <w:jc w:val="both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The subsequent sections are organized as follows. Section 2 provides some background information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about the XACC programming framework (TNQVM frontend) and the ExaTN library, the scalable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numerical backbone behind TNQVM. Section 3 details the implementation of various simulators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TNQVM in terms of the tensor language used by ExaTN. Section 4 provides examples and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demonstration results of TNQVM for various tasks ranging from a large-scale quantum circuit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simulation to noisy quantum circuit modeling. Conclusions and outlooks are given in Section 5.</w:t>
      </w:r>
    </w:p>
    <w:p>
      <w:pPr>
        <w:autoSpaceDN w:val="0"/>
        <w:tabs>
          <w:tab w:pos="496" w:val="left"/>
        </w:tabs>
        <w:autoSpaceDE w:val="0"/>
        <w:widowControl/>
        <w:spacing w:line="196" w:lineRule="exact" w:before="27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2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BACKGROUND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138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2.1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ExaTN library</w:t>
      </w:r>
    </w:p>
    <w:p>
      <w:pPr>
        <w:autoSpaceDN w:val="0"/>
        <w:autoSpaceDE w:val="0"/>
        <w:widowControl/>
        <w:spacing w:line="252" w:lineRule="exact" w:before="62" w:after="0"/>
        <w:ind w:left="144" w:right="144" w:firstLine="0"/>
        <w:jc w:val="center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The ExaTN library (Exascale Tensor Networks) provides generic capabilities for construction, ma-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nipulation and processing of arbitrary tensor networks on single workstations, commodity clusters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and leadership supercomputers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On heterogeneous platforms, it can leverage GPU acceleration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provided by NVIDIA GPUs (support of AMD GPUs is still experimental). Our TNQVM simulator uses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 ExaTN library as a parallel tensor processing backend. The native ExaTN C++ application pro-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gramming interface (API) consists of declarative and executive API (partial Pybind11 [21] bindings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are available for Python users). The declarative API provides functions for constructing arbitrary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tensors and tensor networks and performing different formal manipulations on them. The executive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API provides functions for allocating tensor storage and parallel processing of tensor networks, for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example to perform tensor network contraction. The latter operation is automatically decomposed</w:t>
      </w:r>
    </w:p>
    <w:p>
      <w:pPr>
        <w:autoSpaceDN w:val="0"/>
        <w:autoSpaceDE w:val="0"/>
        <w:widowControl/>
        <w:spacing w:line="150" w:lineRule="exact" w:before="324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4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80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250" w:lineRule="exact" w:before="252" w:after="0"/>
        <w:ind w:left="168" w:right="0" w:firstLine="6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by the ExaTN parallel runtime into smaller tasks which are distributed across all MPI processes.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 decomposition is performed via the standard technique of intermediate tensor slicing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38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Individual tensor network slices received by each MPI process are further decomposed into pairwise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 contractions by a pluggable contraction path finder. The pairwise contractions are then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subsequently appended into the dynamic directed acyclic graph (dynamic DAG) executed by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ExaTN parallel runtime in a fully asynchronous fashion on all available compute units (CPUs and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GPUs).</w:t>
      </w:r>
    </w:p>
    <w:p>
      <w:pPr>
        <w:autoSpaceDN w:val="0"/>
        <w:autoSpaceDE w:val="0"/>
        <w:widowControl/>
        <w:spacing w:line="250" w:lineRule="exact" w:before="2" w:after="0"/>
        <w:ind w:left="168" w:right="168" w:firstLine="200"/>
        <w:jc w:val="both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ExaTN also provides API for higher-level algorithms, specifically for tensor network reconstruction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tensor network optimization. Tensor network reconstruction allows approximation of a given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 network by another tensor network, normally with a simpler structure. Tensor network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optimization allows finding extrema of a given symmetric tensor network functional (expectation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value of some tensor operator). The provided capabilities are sufficient for reformulating common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linear algebra procedures on low-rank tensor network manifolds. Such a low-rank compression of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linear algebra procedures allows their efficient computation for rather large problems with a tiny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fraction of their exact Flop and memory cost.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394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2.2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XACC quantum programming framework</w:t>
      </w:r>
    </w:p>
    <w:p>
      <w:pPr>
        <w:autoSpaceDN w:val="0"/>
        <w:autoSpaceDE w:val="0"/>
        <w:widowControl/>
        <w:spacing w:line="252" w:lineRule="exact" w:before="62" w:after="0"/>
        <w:ind w:left="174" w:right="174" w:hanging="6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XACC is a system-level quantum programming framework that enables quantum-language-agnostic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programming targeting multiple physical and virtual quantum backends via a novel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intermediate representation (IR)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Ultimately, XACC puts forward a service-oriented architecture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defines a number of interfaces or extension points that span the typical quantum-classical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programming, compilation, and execution workflow. This platform provides an extensible backend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interface for quantum program execution in a retargetable fashion, and this is the interface we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target for this work. TNQVM directly extends this layer and enables execution of the XACC IR via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multiple tensor-network simulation schemes.</w:t>
      </w:r>
    </w:p>
    <w:p>
      <w:pPr>
        <w:autoSpaceDN w:val="0"/>
        <w:autoSpaceDE w:val="0"/>
        <w:widowControl/>
        <w:spacing w:line="252" w:lineRule="exact" w:before="0" w:after="0"/>
        <w:ind w:left="174" w:right="144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Here, we briefly summarize pertinent XACC interfaces that are relevant to TNQVM and direct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interested readers to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27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 for a comprehensive introduction. At the high-level, we can classify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framework components into three categories, namely frontend, middle-end, and backend. The fron-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tend exposes a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Compiler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interface which is responsible for converting the input kernel source strings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to the XACC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.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is a pertinent data structure of the framework, capturing both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Instruction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and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CompositeInstruction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service interfaces specialized for concrete quantum gates and collec-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tions of those gates, respectively. Using the IR representation of the quantum kernel as its core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data structure, the middle-end layer also exposes an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IRTransformation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interface enabling general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transformations of quantum circuits 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CompositeInstruction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) for tasks such as circuit optimization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and qubit placement. Lastly, XACC provides an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interface enabling integration with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physical and virtual (simulator) quantum computing backends. TNQVM implements this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interface, thus providing a universal virtual quantum backend for the framework. In other words,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one can use TNQVM interchangeably with other physical QPUs or simulators available in XACC.</w:t>
      </w:r>
    </w:p>
    <w:p>
      <w:pPr>
        <w:autoSpaceDN w:val="0"/>
        <w:autoSpaceDE w:val="0"/>
        <w:widowControl/>
        <w:spacing w:line="250" w:lineRule="exact" w:before="0" w:after="0"/>
        <w:ind w:left="166" w:right="146" w:firstLine="208"/>
        <w:jc w:val="both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Internally, XACC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implementations usually leverage the object-oriented visitor pattern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(the XACC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InstructionVisitor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12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] to walk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tree representation of the compiled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circuits. Each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may opt to perform different actions while walking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tree. For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instance, for physical hardware backends,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adapter needs to convert XACC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to the native gate set that the platform supports. As we will describe in detail later in the text,</w:t>
      </w:r>
    </w:p>
    <w:p>
      <w:pPr>
        <w:autoSpaceDN w:val="0"/>
        <w:autoSpaceDE w:val="0"/>
        <w:widowControl/>
        <w:spacing w:line="150" w:lineRule="exact" w:before="386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6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76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252" w:lineRule="exact" w:before="238" w:after="0"/>
        <w:ind w:left="174" w:right="168" w:hanging="6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TNQVM makes use of this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InstructionVisitor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interface to construct different tensor network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representations of the input circuit depending on the selected mode of simulation, e.g., exact 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approximate, ideal or noisy simulation, etc.</w:t>
      </w:r>
    </w:p>
    <w:p>
      <w:pPr>
        <w:autoSpaceDN w:val="0"/>
        <w:tabs>
          <w:tab w:pos="496" w:val="left"/>
        </w:tabs>
        <w:autoSpaceDE w:val="0"/>
        <w:widowControl/>
        <w:spacing w:line="198" w:lineRule="exact" w:before="33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3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EXATN-ENABLED TNQVM IMPLEMENTATION</w:t>
      </w:r>
    </w:p>
    <w:p>
      <w:pPr>
        <w:autoSpaceDN w:val="0"/>
        <w:autoSpaceDE w:val="0"/>
        <w:widowControl/>
        <w:spacing w:line="252" w:lineRule="exact" w:before="62" w:after="0"/>
        <w:ind w:left="174" w:right="168" w:hanging="6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ultimate goal of our updated TNQVM implementation targeting heterogeneous HPC systems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is to map the input XACC IR to unique tensor data structures provided by ExaTN via the XACC 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InstructionVisitor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. TNQVM will walk the IR tree via custom visitors (visitor design pattern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12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as described in 2.2) and visit the IR nodes (quantum gates) and construct, evaluate, and post-process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corresponding ExaTN tensor and tensor network objects. Broadly speaking, TNQVM simulation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methods can be categorized as either exact or approximate. The first category comprises backend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simulators (visitors) that faithfully translate quantum circuits to equivalent tensor networks and then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contract them to evaluate the value of interest. On the other hand, approximate simulation methods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rely on factorized forms of the state vector or density matrix where some form of a tensor network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compression is used, for example, via the matrix product-state (MPS) tensor network or other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network topologies. The factorized representation is maintained throughout the circuit simulation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via a suitable decomposition procedure. Thus, we can balance the accuracy and complexity of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these approximate representations throughout the simulation process. We note that TNQVM can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incorporate stochastic noise into both forms of quantum circuit simulation.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33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3.1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Direct Tensor Network Contraction</w:t>
      </w:r>
    </w:p>
    <w:p>
      <w:pPr>
        <w:autoSpaceDN w:val="0"/>
        <w:autoSpaceDE w:val="0"/>
        <w:widowControl/>
        <w:spacing w:line="252" w:lineRule="exact" w:before="62" w:after="0"/>
        <w:ind w:left="174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this mode of execution, we construct a tensor network that embodies the entire quantum circuit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before evaluating it numerically. More specifically, qubits, single-qubit gates, and two-qubit gates are 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represented by rank-1, rank-2, and rank-4 tensors, respectively, as depicted in Fig. 1a. The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circuit dictates the connectivity of tensors within the tensor network (see Fig. 1b). Once completed,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tensor network is submitted to the ExaTN numerical server for parallel (GPU-accelerated)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evaluation.</w:t>
      </w:r>
    </w:p>
    <w:p>
      <w:pPr>
        <w:autoSpaceDN w:val="0"/>
        <w:autoSpaceDE w:val="0"/>
        <w:widowControl/>
        <w:spacing w:line="250" w:lineRule="exact" w:before="0" w:after="0"/>
        <w:ind w:left="168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During the evaluation phase, ExaTN first analyzes the structure of the tensor network in order to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determine the pseudo-optimal tensor contraction sequence (contraction path), that is, it performs </w:t>
      </w:r>
      <w:r>
        <w:rPr>
          <w:w w:val="98.92571767171225"/>
          <w:rFonts w:ascii="BeraSerif" w:hAnsi="BeraSerif" w:eastAsia="BeraSerif"/>
          <w:b w:val="0"/>
          <w:i w:val="0"/>
          <w:color w:val="000000"/>
          <w:sz w:val="18"/>
        </w:rPr>
        <w:t xml:space="preserve">minimization of the Flop count (or other relevant metrics) necessary for the evaluation of the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network as a sequence of pairwise tensor contractions. The Flop count is minimized by using 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algorithm based on recursive graph partitioning (via the METIS library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22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]) and some heuristics,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following an approach similar to the one presented in Ref.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We should note that our default 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contraction path finder currently does not include Bayesian optimization. Although such a simplified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version of the contraction path finder implemented in ExaTN does not provide the top quality, it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prioritizes the speed of the tensor contraction path search, to ensure that the search process does not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take more time than the actual evaluation of the tensor network on a highly-parallel HPC platform.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Furthermore, a common interface for the tensor contraction path optimization provided by ExaTN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allows easy integration with existing high-quality tensor contraction path finders, like CoTenGra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16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] 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>or cuQuantum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29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 xml:space="preserve">] (in fact, ExaTN has been integrated with both in experimental branches). Once a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pseudo-optimal tensor contraction path has been identified, the ExaTN numerical server executes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the determined tensor contraction sequence across multiple nodes with an optional GPU acceleration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capability. Each compute node executes its own subset of tensor sub-networks generated by slicing</w:t>
      </w:r>
    </w:p>
    <w:p>
      <w:pPr>
        <w:autoSpaceDN w:val="0"/>
        <w:autoSpaceDE w:val="0"/>
        <w:widowControl/>
        <w:spacing w:line="150" w:lineRule="exact" w:before="356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1270000</wp:posOffset>
            </wp:positionH>
            <wp:positionV relativeFrom="page">
              <wp:posOffset>1498600</wp:posOffset>
            </wp:positionV>
            <wp:extent cx="5092700" cy="57658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5765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4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80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7</w:t>
            </w:r>
          </w:p>
        </w:tc>
      </w:tr>
    </w:tbl>
    <w:p>
      <w:pPr>
        <w:autoSpaceDN w:val="0"/>
        <w:tabs>
          <w:tab w:pos="3416" w:val="left"/>
        </w:tabs>
        <w:autoSpaceDE w:val="0"/>
        <w:widowControl/>
        <w:spacing w:line="254" w:lineRule="exact" w:before="374" w:after="0"/>
        <w:ind w:left="1192" w:right="5616" w:firstLine="0"/>
        <w:jc w:val="left"/>
      </w:pPr>
      <w:r>
        <w:tab/>
      </w:r>
      <w:r>
        <w:rPr>
          <w:w w:val="97.16811460607192"/>
          <w:rFonts w:ascii="CMMI10" w:hAnsi="CMMI10" w:eastAsia="CMMI10"/>
          <w:b w:val="0"/>
          <w:i w:val="0"/>
          <w:color w:val="000000"/>
          <w:sz w:val="17"/>
        </w:rPr>
        <w:t>Q</w:t>
      </w:r>
      <w:r>
        <w:rPr>
          <w:w w:val="96.35816415150961"/>
          <w:rFonts w:ascii="CMR7" w:hAnsi="CMR7" w:eastAsia="CMR7"/>
          <w:b w:val="0"/>
          <w:i w:val="0"/>
          <w:color w:val="000000"/>
          <w:sz w:val="12"/>
        </w:rPr>
        <w:t xml:space="preserve">0 </w:t>
      </w:r>
      <w:r>
        <w:br/>
      </w:r>
      <w:r>
        <w:rPr>
          <w:rFonts w:ascii="CMMI10" w:hAnsi="CMMI10" w:eastAsia="CMMI10"/>
          <w:b w:val="0"/>
          <w:i w:val="0"/>
          <w:color w:val="000000"/>
          <w:sz w:val="17"/>
        </w:rPr>
        <w:t>Q</w:t>
      </w:r>
      <w:r>
        <w:rPr>
          <w:w w:val="98.67233435312906"/>
          <w:rFonts w:ascii="CMMI7" w:hAnsi="CMMI7" w:eastAsia="CMMI7"/>
          <w:b w:val="0"/>
          <w:i w:val="0"/>
          <w:color w:val="000000"/>
          <w:sz w:val="12"/>
        </w:rPr>
        <w:t>k</w:t>
      </w:r>
    </w:p>
    <w:p>
      <w:pPr>
        <w:autoSpaceDN w:val="0"/>
        <w:autoSpaceDE w:val="0"/>
        <w:widowControl/>
        <w:spacing w:line="164" w:lineRule="exact" w:before="294" w:after="0"/>
        <w:ind w:left="0" w:right="5748" w:firstLine="0"/>
        <w:jc w:val="right"/>
      </w:pPr>
      <w:r>
        <w:rPr>
          <w:w w:val="97.16811460607192"/>
          <w:rFonts w:ascii="CMMI10" w:hAnsi="CMMI10" w:eastAsia="CMMI10"/>
          <w:b w:val="0"/>
          <w:i w:val="0"/>
          <w:color w:val="000000"/>
          <w:sz w:val="17"/>
        </w:rPr>
        <w:t>Q</w:t>
      </w:r>
      <w:r>
        <w:rPr>
          <w:w w:val="96.35816415150961"/>
          <w:rFonts w:ascii="CMR7" w:hAnsi="CMR7" w:eastAsia="CMR7"/>
          <w:b w:val="0"/>
          <w:i w:val="0"/>
          <w:color w:val="000000"/>
          <w:sz w:val="12"/>
        </w:rPr>
        <w:t>1</w:t>
      </w:r>
    </w:p>
    <w:p>
      <w:pPr>
        <w:autoSpaceDN w:val="0"/>
        <w:autoSpaceDE w:val="0"/>
        <w:widowControl/>
        <w:spacing w:line="170" w:lineRule="exact" w:before="98" w:after="0"/>
        <w:ind w:left="92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17"/>
        </w:rPr>
        <w:t>Gate (1Q)</w:t>
      </w:r>
    </w:p>
    <w:p>
      <w:pPr>
        <w:autoSpaceDN w:val="0"/>
        <w:autoSpaceDE w:val="0"/>
        <w:widowControl/>
        <w:spacing w:line="170" w:lineRule="exact" w:before="800" w:after="0"/>
        <w:ind w:left="920" w:right="0" w:firstLine="0"/>
        <w:jc w:val="left"/>
      </w:pPr>
      <w:r>
        <w:rPr>
          <w:rFonts w:ascii="CMR10" w:hAnsi="CMR10" w:eastAsia="CMR10"/>
          <w:b w:val="0"/>
          <w:i w:val="0"/>
          <w:color w:val="000000"/>
          <w:sz w:val="17"/>
        </w:rPr>
        <w:t>Gate (2Q)</w:t>
      </w:r>
    </w:p>
    <w:p>
      <w:pPr>
        <w:autoSpaceDN w:val="0"/>
        <w:autoSpaceDE w:val="0"/>
        <w:widowControl/>
        <w:spacing w:line="182" w:lineRule="exact" w:before="712" w:after="0"/>
        <w:ind w:left="0" w:right="5656" w:firstLine="0"/>
        <w:jc w:val="right"/>
      </w:pPr>
      <w:r>
        <w:rPr>
          <w:w w:val="97.16811460607192"/>
          <w:rFonts w:ascii="CMMI10" w:hAnsi="CMMI10" w:eastAsia="CMMI10"/>
          <w:b w:val="0"/>
          <w:i w:val="0"/>
          <w:color w:val="000000"/>
          <w:sz w:val="17"/>
        </w:rPr>
        <w:t>Q</w:t>
      </w:r>
      <w:r>
        <w:rPr>
          <w:w w:val="96.35816415150961"/>
          <w:rFonts w:ascii="CMMI7" w:hAnsi="CMMI7" w:eastAsia="CMMI7"/>
          <w:b w:val="0"/>
          <w:i w:val="0"/>
          <w:color w:val="000000"/>
          <w:sz w:val="12"/>
        </w:rPr>
        <w:t>n</w:t>
      </w:r>
      <w:r>
        <w:rPr>
          <w:w w:val="96.35816415150961"/>
          <w:rFonts w:ascii="CMSY7" w:hAnsi="CMSY7" w:eastAsia="CMSY7"/>
          <w:b w:val="0"/>
          <w:i w:val="0"/>
          <w:color w:val="000000"/>
          <w:sz w:val="12"/>
        </w:rPr>
        <w:t>−</w:t>
      </w:r>
      <w:r>
        <w:rPr>
          <w:w w:val="96.35816415150961"/>
          <w:rFonts w:ascii="CMR7" w:hAnsi="CMR7" w:eastAsia="CMR7"/>
          <w:b w:val="0"/>
          <w:i w:val="0"/>
          <w:color w:val="000000"/>
          <w:sz w:val="12"/>
        </w:rPr>
        <w:t>2</w:t>
      </w:r>
    </w:p>
    <w:p>
      <w:pPr>
        <w:autoSpaceDN w:val="0"/>
        <w:autoSpaceDE w:val="0"/>
        <w:widowControl/>
        <w:spacing w:line="182" w:lineRule="exact" w:before="530" w:after="16"/>
        <w:ind w:left="0" w:right="5656" w:firstLine="0"/>
        <w:jc w:val="right"/>
      </w:pPr>
      <w:r>
        <w:rPr>
          <w:w w:val="97.16811460607192"/>
          <w:rFonts w:ascii="CMMI10" w:hAnsi="CMMI10" w:eastAsia="CMMI10"/>
          <w:b w:val="0"/>
          <w:i w:val="0"/>
          <w:color w:val="000000"/>
          <w:sz w:val="17"/>
        </w:rPr>
        <w:t>Q</w:t>
      </w:r>
      <w:r>
        <w:rPr>
          <w:w w:val="96.35816415150961"/>
          <w:rFonts w:ascii="CMMI7" w:hAnsi="CMMI7" w:eastAsia="CMMI7"/>
          <w:b w:val="0"/>
          <w:i w:val="0"/>
          <w:color w:val="000000"/>
          <w:sz w:val="12"/>
        </w:rPr>
        <w:t>n</w:t>
      </w:r>
      <w:r>
        <w:rPr>
          <w:w w:val="96.35816415150961"/>
          <w:rFonts w:ascii="CMSY7" w:hAnsi="CMSY7" w:eastAsia="CMSY7"/>
          <w:b w:val="0"/>
          <w:i w:val="0"/>
          <w:color w:val="000000"/>
          <w:sz w:val="12"/>
        </w:rPr>
        <w:t>−</w:t>
      </w:r>
      <w:r>
        <w:rPr>
          <w:w w:val="96.35816415150961"/>
          <w:rFonts w:ascii="CMR7" w:hAnsi="CMR7" w:eastAsia="CMR7"/>
          <w:b w:val="0"/>
          <w:i w:val="0"/>
          <w:color w:val="000000"/>
          <w:sz w:val="12"/>
        </w:rPr>
        <w:t>1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214"/>
        </w:trPr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(a)</w:t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Tensor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notations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84" w:right="0" w:firstLine="0"/>
              <w:jc w:val="left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for</w:t>
            </w:r>
          </w:p>
        </w:tc>
      </w:tr>
    </w:tbl>
    <w:p>
      <w:pPr>
        <w:autoSpaceDN w:val="0"/>
        <w:autoSpaceDE w:val="0"/>
        <w:widowControl/>
        <w:spacing w:line="214" w:lineRule="exact" w:before="0" w:after="0"/>
        <w:ind w:left="174" w:right="6912" w:firstLine="0"/>
        <w:jc w:val="left"/>
      </w:pP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qubits, single and two-qubit </w:t>
      </w:r>
      <w:r>
        <w:br/>
      </w:r>
      <w:r>
        <w:rPr>
          <w:rFonts w:ascii="BeraSans" w:hAnsi="BeraSans" w:eastAsia="BeraSans"/>
          <w:b w:val="0"/>
          <w:i w:val="0"/>
          <w:color w:val="000000"/>
          <w:sz w:val="16"/>
        </w:rPr>
        <w:t>quantum gates.</w:t>
      </w:r>
    </w:p>
    <w:p>
      <w:pPr>
        <w:autoSpaceDN w:val="0"/>
        <w:autoSpaceDE w:val="0"/>
        <w:widowControl/>
        <w:spacing w:line="162" w:lineRule="exact" w:before="84" w:after="0"/>
        <w:ind w:left="0" w:right="1344" w:firstLine="0"/>
        <w:jc w:val="right"/>
      </w:pPr>
      <w:r>
        <w:rPr>
          <w:rFonts w:ascii="BeraSans" w:hAnsi="BeraSans" w:eastAsia="BeraSans"/>
          <w:b w:val="0"/>
          <w:i w:val="0"/>
          <w:color w:val="000000"/>
          <w:sz w:val="16"/>
        </w:rPr>
        <w:t>(b) Tensor network representation of a quantum circuit</w:t>
      </w:r>
    </w:p>
    <w:p>
      <w:pPr>
        <w:autoSpaceDN w:val="0"/>
        <w:autoSpaceDE w:val="0"/>
        <w:widowControl/>
        <w:spacing w:line="162" w:lineRule="exact" w:before="306" w:after="0"/>
        <w:ind w:left="0" w:right="0" w:firstLine="0"/>
        <w:jc w:val="center"/>
      </w:pPr>
      <w:r>
        <w:rPr>
          <w:rFonts w:ascii="BeraSans" w:hAnsi="BeraSans" w:eastAsia="BeraSans"/>
          <w:b w:val="0"/>
          <w:i w:val="0"/>
          <w:color w:val="000000"/>
          <w:sz w:val="16"/>
        </w:rPr>
        <w:t>Fig. 1. ExaTN tensor network representation of a quantum circuit.</w:t>
      </w:r>
    </w:p>
    <w:p>
      <w:pPr>
        <w:autoSpaceDN w:val="0"/>
        <w:autoSpaceDE w:val="0"/>
        <w:widowControl/>
        <w:spacing w:line="252" w:lineRule="exact" w:before="348" w:after="0"/>
        <w:ind w:left="174" w:right="144" w:firstLine="0"/>
        <w:jc w:val="left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some of the tensor network edges, a standard technique used for creating parallel work and reducing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 memory footprint of intermediate tensors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16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37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38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It is worth noting that ExaTN supports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GPU processing of tensors that are too large to fit into GPU memory. In this case, all cross-device data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transfers are orchestrated by the library automatically and transparently to the user. In particular,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ExaTN is capable of splitting larger tensors into manageable pieces, automatically transferring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tensors to/from GPU memory, prefetching tensors to GPU memory in advance, caching tensors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GPU memory for a subsequent reuse, and pipelining data transfers with computations in order to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amortize data transfer overheads.</w:t>
      </w:r>
    </w:p>
    <w:p>
      <w:pPr>
        <w:autoSpaceDN w:val="0"/>
        <w:autoSpaceDE w:val="0"/>
        <w:widowControl/>
        <w:spacing w:line="250" w:lineRule="exact" w:before="0" w:after="0"/>
        <w:ind w:left="174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direct tensor contraction works best for computing individual amplitudes or their batches.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Since the number of open edges in the tensor network is equal to the number of qubits, we cannot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obtain the full wave-function for a large number of qubits. Instead, for large-scale circuits, we have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implemented a variety of utility functions to extract observable values, as described in Table 1.</w:t>
      </w:r>
    </w:p>
    <w:p>
      <w:pPr>
        <w:autoSpaceDN w:val="0"/>
        <w:tabs>
          <w:tab w:pos="814" w:val="left"/>
        </w:tabs>
        <w:autoSpaceDE w:val="0"/>
        <w:widowControl/>
        <w:spacing w:line="254" w:lineRule="exact" w:before="122" w:after="0"/>
        <w:ind w:left="174" w:right="144" w:firstLine="0"/>
        <w:jc w:val="left"/>
      </w:pPr>
      <w:r>
        <w:rPr>
          <w:rFonts w:ascii="BeraSans" w:hAnsi="BeraSans" w:eastAsia="BeraSans"/>
          <w:b w:val="0"/>
          <w:i/>
          <w:color w:val="000000"/>
          <w:sz w:val="18"/>
        </w:rPr>
        <w:t xml:space="preserve">3.1.1 </w:t>
      </w:r>
      <w:r>
        <w:tab/>
      </w:r>
      <w:r>
        <w:rPr>
          <w:rFonts w:ascii="BeraSans" w:hAnsi="BeraSans" w:eastAsia="BeraSans"/>
          <w:b w:val="0"/>
          <w:i/>
          <w:color w:val="000000"/>
          <w:sz w:val="18"/>
        </w:rPr>
        <w:t>Single-state amplitudes.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Once the full circuit tensor network has been constructed, we can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append appropriate conjugate qubit tensors to each open qubit leg to compute a desired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state amplitude (as shown in Fig. 2, red triangles project open qubit legs to a specific bit-string).</w:t>
      </w:r>
    </w:p>
    <w:p>
      <w:pPr>
        <w:autoSpaceDN w:val="0"/>
        <w:autoSpaceDE w:val="0"/>
        <w:widowControl/>
        <w:spacing w:line="186" w:lineRule="exact" w:before="66" w:after="0"/>
        <w:ind w:left="3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Effectively, here we construct the following tensor network to evaluate</w:t>
      </w:r>
    </w:p>
    <w:p>
      <w:pPr>
        <w:autoSpaceDN w:val="0"/>
        <w:tabs>
          <w:tab w:pos="8932" w:val="left"/>
        </w:tabs>
        <w:autoSpaceDE w:val="0"/>
        <w:widowControl/>
        <w:spacing w:line="380" w:lineRule="exact" w:before="148" w:after="0"/>
        <w:ind w:left="402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⟨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circuit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(1)</w:t>
      </w:r>
    </w:p>
    <w:p>
      <w:pPr>
        <w:autoSpaceDN w:val="0"/>
        <w:autoSpaceDE w:val="0"/>
        <w:widowControl/>
        <w:spacing w:line="178" w:lineRule="exact" w:before="164" w:after="0"/>
        <w:ind w:left="144" w:right="144" w:firstLine="0"/>
        <w:jc w:val="center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where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circuit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are the initial state and the equivalent unitary matrix of the quantum circuit,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respectively.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is the bit-string state whose amplitude we want to calculate. The result of (1) is just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 scalar. This procedure can be repeated for different amplitudes. It is worth noting that despite</w:t>
      </w:r>
    </w:p>
    <w:p>
      <w:pPr>
        <w:autoSpaceDN w:val="0"/>
        <w:autoSpaceDE w:val="0"/>
        <w:widowControl/>
        <w:spacing w:line="150" w:lineRule="exact" w:before="324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8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8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76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162" w:lineRule="exact" w:before="282" w:after="316"/>
        <w:ind w:left="0" w:right="0" w:firstLine="0"/>
        <w:jc w:val="center"/>
      </w:pPr>
      <w:r>
        <w:rPr>
          <w:rFonts w:ascii="BeraSans" w:hAnsi="BeraSans" w:eastAsia="BeraSans"/>
          <w:b w:val="0"/>
          <w:i w:val="0"/>
          <w:color w:val="000000"/>
          <w:sz w:val="16"/>
        </w:rPr>
        <w:t>Table 1. Tensor Network utility functions for evaluating observables for large-scale quantum circuits.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98.0000000000001" w:type="dxa"/>
      </w:tblPr>
      <w:tblGrid>
        <w:gridCol w:w="4680"/>
        <w:gridCol w:w="4680"/>
      </w:tblGrid>
      <w:tr>
        <w:trPr>
          <w:trHeight w:hRule="exact" w:val="258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100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Mode</w:t>
            </w:r>
          </w:p>
        </w:tc>
        <w:tc>
          <w:tcPr>
            <w:tcW w:type="dxa" w:w="65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100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Description</w:t>
            </w:r>
          </w:p>
        </w:tc>
      </w:tr>
      <w:tr>
        <w:trPr>
          <w:trHeight w:hRule="exact" w:val="510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100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Single-state am-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plitudes</w:t>
            </w:r>
          </w:p>
        </w:tc>
        <w:tc>
          <w:tcPr>
            <w:tcW w:type="dxa" w:w="65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4" w:lineRule="exact" w:before="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Closing the quantum circuit tensor network with a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⟨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|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, where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 xml:space="preserve"> Ψ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 xml:space="preserve">i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represents a chosen bit-string state,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 xml:space="preserve"> i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.</w:t>
            </w:r>
          </w:p>
        </w:tc>
      </w:tr>
      <w:tr>
        <w:trPr>
          <w:trHeight w:hRule="exact" w:val="762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4" w:right="0" w:firstLine="6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Expectation </w:t>
            </w:r>
            <w:r>
              <w:br/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value by conju-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gate</w:t>
            </w:r>
          </w:p>
        </w:tc>
        <w:tc>
          <w:tcPr>
            <w:tcW w:type="dxa" w:w="65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100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Adding a tensor network which represents the observable and then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closing with the conjugate quantum circuit (plus light-cone simplifica-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tion).</w:t>
            </w:r>
          </w:p>
        </w:tc>
      </w:tr>
      <w:tr>
        <w:trPr>
          <w:trHeight w:hRule="exact" w:val="1262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exact" w:before="0" w:after="0"/>
              <w:ind w:left="94" w:right="0" w:firstLine="6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Expectation </w:t>
            </w:r>
            <w:r>
              <w:br/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value by state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vector slicing</w:t>
            </w:r>
          </w:p>
        </w:tc>
        <w:tc>
          <w:tcPr>
            <w:tcW w:type="dxa" w:w="65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96" w:right="94" w:firstLine="0"/>
              <w:jc w:val="both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A subset of open tensor legs is projected to a bit-string to keep the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number of open legs within the memory constraints. Accumulating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the expectation values computed on the partial state vector slices for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all possible projected bit-strings to compute the overall expectation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value.</w:t>
            </w:r>
          </w:p>
        </w:tc>
      </w:tr>
      <w:tr>
        <w:trPr>
          <w:trHeight w:hRule="exact" w:val="1012"/>
        </w:trPr>
        <w:tc>
          <w:tcPr>
            <w:tcW w:type="dxa" w:w="1648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34" w:val="left"/>
              </w:tabs>
              <w:autoSpaceDE w:val="0"/>
              <w:widowControl/>
              <w:spacing w:line="240" w:lineRule="exact" w:before="0" w:after="0"/>
              <w:ind w:left="100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Direct unbiased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bit-string </w:t>
            </w:r>
            <w:r>
              <w:tab/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sam-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pling</w:t>
            </w:r>
          </w:p>
        </w:tc>
        <w:tc>
          <w:tcPr>
            <w:tcW w:type="dxa" w:w="6516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0" w:after="0"/>
              <w:ind w:left="92" w:right="100" w:firstLine="8"/>
              <w:jc w:val="both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Connecting the quantum circuit tensor network with its conjugate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while leaving a subset of qubit legs open to compute the reduced </w:t>
            </w:r>
            <w:r>
              <w:rPr>
                <w:w w:val="98.77510070800781"/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density matrices (marginals) for bit-string sampling and measurement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projection.</w:t>
            </w:r>
          </w:p>
        </w:tc>
      </w:tr>
    </w:tbl>
    <w:p>
      <w:pPr>
        <w:autoSpaceDN w:val="0"/>
        <w:autoSpaceDE w:val="0"/>
        <w:widowControl/>
        <w:spacing w:line="252" w:lineRule="exact" w:before="338" w:after="0"/>
        <w:ind w:left="174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its low rank, the numerical evaluation of a single-state amplitude for large-scale quantum circuits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involving many qubits and gates is numerically challenging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38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Small gate tensors are contracted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internally to form larger tensors and any intermediate tensors that require more memory than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available will be split into smaller slices and distributed across multiple MPI processes. In principle,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this allows simulating output amplitudes of an arbitrarily large quantum circuit in terms of the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number of qubits involved, while keeping a bounded memory footprint. The individual or small-batch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amplitude evaluation plays a key role in validating near-term quantum hardware via procedures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such as the random quantum circuit sampling protocol [5].</w:t>
      </w:r>
    </w:p>
    <w:p>
      <w:pPr>
        <w:autoSpaceDN w:val="0"/>
        <w:tabs>
          <w:tab w:pos="818" w:val="left"/>
        </w:tabs>
        <w:autoSpaceDE w:val="0"/>
        <w:widowControl/>
        <w:spacing w:line="256" w:lineRule="exact" w:before="118" w:after="0"/>
        <w:ind w:left="174" w:right="144" w:firstLine="0"/>
        <w:jc w:val="left"/>
      </w:pPr>
      <w:r>
        <w:rPr>
          <w:rFonts w:ascii="BeraSans" w:hAnsi="BeraSans" w:eastAsia="BeraSans"/>
          <w:b w:val="0"/>
          <w:i/>
          <w:color w:val="000000"/>
          <w:sz w:val="18"/>
        </w:rPr>
        <w:t xml:space="preserve">3.1.2 </w:t>
      </w:r>
      <w:r>
        <w:tab/>
      </w:r>
      <w:r>
        <w:rPr>
          <w:rFonts w:ascii="BeraSans" w:hAnsi="BeraSans" w:eastAsia="BeraSans"/>
          <w:b w:val="0"/>
          <w:i/>
          <w:color w:val="000000"/>
          <w:sz w:val="18"/>
        </w:rPr>
        <w:t>Operator expectation values.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 ubiquitous use case in quantum circuit simulation is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calculation of the expectation values of Hermitian operators, i.e.,</w:t>
      </w:r>
    </w:p>
    <w:p>
      <w:pPr>
        <w:autoSpaceDN w:val="0"/>
        <w:tabs>
          <w:tab w:pos="8932" w:val="left"/>
        </w:tabs>
        <w:autoSpaceDE w:val="0"/>
        <w:widowControl/>
        <w:spacing w:line="380" w:lineRule="exact" w:before="140" w:after="0"/>
        <w:ind w:left="4230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⟨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H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⟩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(2)</w:t>
      </w:r>
    </w:p>
    <w:p>
      <w:pPr>
        <w:autoSpaceDN w:val="0"/>
        <w:autoSpaceDE w:val="0"/>
        <w:widowControl/>
        <w:spacing w:line="360" w:lineRule="exact" w:before="16" w:after="0"/>
        <w:ind w:left="174" w:right="144" w:hanging="8"/>
        <w:jc w:val="left"/>
      </w:pP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>where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f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⟩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circuit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 is the final state of the qubit register and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 is a general Hermitian operator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representing an observable of interest. For instance,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H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could be a Hermitian sum of products of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Pauli operators,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X</w:t>
      </w:r>
      <w:r>
        <w:rPr>
          <w:rFonts w:ascii="rtxmi" w:hAnsi="rtxmi" w:eastAsia="rtxmi"/>
          <w:b w:val="0"/>
          <w:i w:val="0"/>
          <w:color w:val="000000"/>
          <w:sz w:val="20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Y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 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}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, on different qubits. We have implemented two different methods to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compute Eq. (2) for circuits that have more qubits than a state-vector simulator can efficiently handle: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(a) via the use of the conjugate tensor network, and (b) via the wave-function slicing approach, as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described in Table 1.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append the measure operator tensors and then close the obtained tensor network with the Hermitian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 the first approach, after constructing the tensor network which represents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circuit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 we</w:t>
      </w:r>
    </w:p>
    <w:p>
      <w:pPr>
        <w:autoSpaceDN w:val="0"/>
        <w:autoSpaceDE w:val="0"/>
        <w:widowControl/>
        <w:spacing w:line="240" w:lineRule="exact" w:before="0" w:after="0"/>
        <w:ind w:left="0" w:right="0" w:firstLine="0"/>
        <w:jc w:val="center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worst case consists of approximately twice the number of component tensors, as shown in Fig. 3.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conjugate of the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U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circuit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w w:val="96.96933110555013"/>
          <w:rFonts w:ascii="LinLibertineT" w:hAnsi="LinLibertineT" w:eastAsia="LinLibertineT"/>
          <w:b w:val="0"/>
          <w:i w:val="0"/>
          <w:color w:val="000000"/>
          <w:sz w:val="15"/>
        </w:rPr>
        <w:t>0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network. The resulting tensor network evaluates to a scalar and in the</w:t>
      </w:r>
    </w:p>
    <w:p>
      <w:pPr>
        <w:autoSpaceDN w:val="0"/>
        <w:autoSpaceDE w:val="0"/>
        <w:widowControl/>
        <w:spacing w:line="250" w:lineRule="exact" w:before="0" w:after="0"/>
        <w:ind w:left="174" w:right="174" w:firstLine="20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evaluation of this tensor network yields the expectation value. It is worth mentioning that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ExaTN can intelligently collapse a tensor and its conjugate in case they are contracted with each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other, which can therefore simplify the tensor network if the measurement operator product is</w:t>
      </w:r>
    </w:p>
    <w:p>
      <w:pPr>
        <w:autoSpaceDN w:val="0"/>
        <w:autoSpaceDE w:val="0"/>
        <w:widowControl/>
        <w:spacing w:line="150" w:lineRule="exact" w:before="322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1600200</wp:posOffset>
            </wp:positionV>
            <wp:extent cx="4953000" cy="56642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64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60.0" w:type="dxa"/>
      </w:tblPr>
      <w:tblGrid>
        <w:gridCol w:w="2340"/>
        <w:gridCol w:w="2340"/>
        <w:gridCol w:w="2340"/>
        <w:gridCol w:w="2340"/>
      </w:tblGrid>
      <w:tr>
        <w:trPr>
          <w:trHeight w:hRule="exact" w:val="432"/>
        </w:trPr>
        <w:tc>
          <w:tcPr>
            <w:tcW w:type="dxa" w:w="3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808" w:after="0"/>
              <w:ind w:left="0" w:right="2032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1"/>
              </w:rPr>
              <w:t>Q</w:t>
            </w:r>
            <w:r>
              <w:rPr>
                <w:w w:val="98.79266738891602"/>
                <w:rFonts w:ascii="CMR7" w:hAnsi="CMR7" w:eastAsia="CMR7"/>
                <w:b w:val="0"/>
                <w:i w:val="0"/>
                <w:color w:val="000000"/>
                <w:sz w:val="15"/>
              </w:rPr>
              <w:t>0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80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9</w:t>
            </w:r>
          </w:p>
        </w:tc>
      </w:tr>
      <w:tr>
        <w:trPr>
          <w:trHeight w:hRule="exact" w:val="900"/>
        </w:trPr>
        <w:tc>
          <w:tcPr>
            <w:tcW w:type="dxa" w:w="2340"/>
            <w:vMerge/>
            <w:tcBorders/>
          </w:tcPr>
          <w:p/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14" w:after="0"/>
              <w:ind w:left="0" w:right="75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1"/>
              </w:rPr>
              <w:t>0/1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1820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88" w:after="0"/>
              <w:ind w:left="0" w:right="2032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1"/>
              </w:rPr>
              <w:t>Q</w:t>
            </w:r>
            <w:r>
              <w:rPr>
                <w:w w:val="98.79266738891602"/>
                <w:rFonts w:ascii="CMR7" w:hAnsi="CMR7" w:eastAsia="CMR7"/>
                <w:b w:val="0"/>
                <w:i w:val="0"/>
                <w:color w:val="000000"/>
                <w:sz w:val="15"/>
              </w:rPr>
              <w:t>1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326" w:after="0"/>
              <w:ind w:left="0" w:right="75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1"/>
              </w:rPr>
              <w:t>0/1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  <w:tr>
        <w:trPr>
          <w:trHeight w:hRule="exact" w:val="1572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80" w:after="0"/>
              <w:ind w:left="698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21"/>
              </w:rPr>
              <w:t>Q</w:t>
            </w:r>
            <w:r>
              <w:rPr>
                <w:w w:val="98.79266738891602"/>
                <w:rFonts w:ascii="CMMI7" w:hAnsi="CMMI7" w:eastAsia="CMMI7"/>
                <w:b w:val="0"/>
                <w:i w:val="0"/>
                <w:color w:val="000000"/>
                <w:sz w:val="15"/>
              </w:rPr>
              <w:t>n</w:t>
            </w:r>
            <w:r>
              <w:rPr>
                <w:w w:val="98.79266738891602"/>
                <w:rFonts w:ascii="CMSY7" w:hAnsi="CMSY7" w:eastAsia="CMSY7"/>
                <w:b w:val="0"/>
                <w:i w:val="0"/>
                <w:color w:val="000000"/>
                <w:sz w:val="15"/>
              </w:rPr>
              <w:t>−</w:t>
            </w:r>
            <w:r>
              <w:rPr>
                <w:w w:val="98.79266738891602"/>
                <w:rFonts w:ascii="CMR7" w:hAnsi="CMR7" w:eastAsia="CMR7"/>
                <w:b w:val="0"/>
                <w:i w:val="0"/>
                <w:color w:val="000000"/>
                <w:sz w:val="15"/>
              </w:rPr>
              <w:t>2</w:t>
            </w:r>
          </w:p>
        </w:tc>
        <w:tc>
          <w:tcPr>
            <w:tcW w:type="dxa" w:w="5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1226" w:after="0"/>
              <w:ind w:left="0" w:right="756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21"/>
              </w:rPr>
              <w:t>0/1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tabs>
          <w:tab w:pos="7686" w:val="left"/>
        </w:tabs>
        <w:autoSpaceDE w:val="0"/>
        <w:widowControl/>
        <w:spacing w:line="286" w:lineRule="exact" w:before="512" w:after="0"/>
        <w:ind w:left="1358" w:right="0" w:firstLine="0"/>
        <w:jc w:val="left"/>
      </w:pPr>
      <w:r>
        <w:rPr>
          <w:rFonts w:ascii="CMMI10" w:hAnsi="CMMI10" w:eastAsia="CMMI10"/>
          <w:b w:val="0"/>
          <w:i w:val="0"/>
          <w:color w:val="000000"/>
          <w:sz w:val="21"/>
        </w:rPr>
        <w:t>Q</w:t>
      </w:r>
      <w:r>
        <w:rPr>
          <w:w w:val="98.79266738891602"/>
          <w:rFonts w:ascii="CMMI7" w:hAnsi="CMMI7" w:eastAsia="CMMI7"/>
          <w:b w:val="0"/>
          <w:i w:val="0"/>
          <w:color w:val="000000"/>
          <w:sz w:val="15"/>
        </w:rPr>
        <w:t>n</w:t>
      </w:r>
      <w:r>
        <w:rPr>
          <w:w w:val="98.79266738891602"/>
          <w:rFonts w:ascii="CMSY7" w:hAnsi="CMSY7" w:eastAsia="CMSY7"/>
          <w:b w:val="0"/>
          <w:i w:val="0"/>
          <w:color w:val="000000"/>
          <w:sz w:val="15"/>
        </w:rPr>
        <w:t>−</w:t>
      </w:r>
      <w:r>
        <w:rPr>
          <w:w w:val="98.79266738891602"/>
          <w:rFonts w:ascii="CMR7" w:hAnsi="CMR7" w:eastAsia="CMR7"/>
          <w:b w:val="0"/>
          <w:i w:val="0"/>
          <w:color w:val="000000"/>
          <w:sz w:val="15"/>
        </w:rPr>
        <w:t xml:space="preserve">1 </w:t>
      </w:r>
      <w:r>
        <w:tab/>
      </w:r>
      <w:r>
        <w:rPr>
          <w:rFonts w:ascii="CMR10" w:hAnsi="CMR10" w:eastAsia="CMR10"/>
          <w:b w:val="0"/>
          <w:i w:val="0"/>
          <w:color w:val="000000"/>
          <w:sz w:val="21"/>
        </w:rPr>
        <w:t>0/1</w:t>
      </w:r>
    </w:p>
    <w:p>
      <w:pPr>
        <w:autoSpaceDN w:val="0"/>
        <w:autoSpaceDE w:val="0"/>
        <w:widowControl/>
        <w:spacing w:line="230" w:lineRule="exact" w:before="956" w:after="0"/>
        <w:ind w:left="174" w:right="144" w:firstLine="0"/>
        <w:jc w:val="left"/>
      </w:pP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Fig. 2. Single amplitude calculation by tensor network contraction: Open qubit legs are closed with tensors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representing the projected 0 or 1 values.</w:t>
      </w:r>
    </w:p>
    <w:p>
      <w:pPr>
        <w:autoSpaceDN w:val="0"/>
        <w:autoSpaceDE w:val="0"/>
        <w:widowControl/>
        <w:spacing w:line="252" w:lineRule="exact" w:before="352" w:after="0"/>
        <w:ind w:left="174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sparse, i.e., it affects only a small fraction of qubits in the circuit. This simplification is commonly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called the light-cone simplification.</w:t>
      </w:r>
    </w:p>
    <w:p>
      <w:pPr>
        <w:autoSpaceDN w:val="0"/>
        <w:autoSpaceDE w:val="0"/>
        <w:widowControl/>
        <w:spacing w:line="250" w:lineRule="exact" w:before="0" w:after="0"/>
        <w:ind w:left="174" w:right="174" w:firstLine="20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the wave-function slicing evaluation method, we slice the output wave-function based on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memory constraint, compute the expectation value for each slice, and recombine them to form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final result at the end. Specifically, the workflow is as follows</w:t>
      </w:r>
    </w:p>
    <w:p>
      <w:pPr>
        <w:autoSpaceDN w:val="0"/>
        <w:tabs>
          <w:tab w:pos="662" w:val="left"/>
        </w:tabs>
        <w:autoSpaceDE w:val="0"/>
        <w:widowControl/>
        <w:spacing w:line="242" w:lineRule="exact" w:before="68" w:after="0"/>
        <w:ind w:left="328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(1)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Based on the memory constraint, determine the max number of open qubit legs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rank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_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max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) in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 output tensor.</w:t>
      </w:r>
    </w:p>
    <w:p>
      <w:pPr>
        <w:autoSpaceDN w:val="0"/>
        <w:autoSpaceDE w:val="0"/>
        <w:widowControl/>
        <w:spacing w:line="430" w:lineRule="exact" w:before="0" w:after="0"/>
        <w:ind w:left="328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(2)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Determine the number of wave-function slices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slices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), which is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LinLibertineI5" w:hAnsi="LinLibertineI5" w:eastAsia="LinLibertineI5"/>
          <w:b w:val="0"/>
          <w:i w:val="0"/>
          <w:color w:val="000000"/>
          <w:sz w:val="11"/>
        </w:rPr>
        <w:t>projected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projected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qubits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−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rank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_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max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52" w:after="0"/>
        <w:ind w:left="328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(3) Distribute the wave-function slice compute tasks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slices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 across all MPI processes.</w:t>
      </w:r>
    </w:p>
    <w:p>
      <w:pPr>
        <w:autoSpaceDN w:val="0"/>
        <w:autoSpaceDE w:val="0"/>
        <w:widowControl/>
        <w:spacing w:line="238" w:lineRule="exact" w:before="0" w:after="0"/>
        <w:ind w:left="328" w:right="1008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(4) Compute the expectation value of the measurement operator for each slice.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(5) Sum (reduce) the partial expectation values to compute the final expectation value.</w:t>
      </w:r>
    </w:p>
    <w:p>
      <w:pPr>
        <w:autoSpaceDN w:val="0"/>
        <w:autoSpaceDE w:val="0"/>
        <w:widowControl/>
        <w:spacing w:line="252" w:lineRule="exact" w:before="48" w:after="0"/>
        <w:ind w:left="174" w:right="174" w:firstLine="20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practice, there are pros and cons in using the above two methods, one based on the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circuit conjugation and the other one based on the output wave-function slicing. The first method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is more favorable for larger qubit counts (circuit width) and lower circuit depth, in which case the </w:t>
      </w:r>
      <w:r>
        <w:rPr>
          <w:w w:val="98.7248526679145"/>
          <w:rFonts w:ascii="BeraSerif" w:hAnsi="BeraSerif" w:eastAsia="BeraSerif"/>
          <w:b w:val="0"/>
          <w:i w:val="0"/>
          <w:color w:val="000000"/>
          <w:sz w:val="18"/>
        </w:rPr>
        <w:t>light-cone simplification becomes very effective in reducing the tensor network complexity, provided</w:t>
      </w:r>
    </w:p>
    <w:p>
      <w:pPr>
        <w:autoSpaceDN w:val="0"/>
        <w:autoSpaceDE w:val="0"/>
        <w:widowControl/>
        <w:spacing w:line="150" w:lineRule="exact" w:before="324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1536700</wp:posOffset>
            </wp:positionV>
            <wp:extent cx="5410200" cy="57277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727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380"/>
        </w:trPr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10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7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64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750" w:after="0"/>
              <w:ind w:left="0" w:right="210" w:firstLine="0"/>
              <w:jc w:val="right"/>
            </w:pPr>
            <w:r>
              <w:rPr>
                <w:w w:val="101.54743194580078"/>
                <w:rFonts w:ascii="CMMI10" w:hAnsi="CMMI10" w:eastAsia="CMMI10"/>
                <w:b w:val="0"/>
                <w:i w:val="0"/>
                <w:color w:val="000000"/>
                <w:sz w:val="14"/>
              </w:rPr>
              <w:t>Q</w:t>
            </w:r>
            <w:r>
              <w:rPr>
                <w:rFonts w:ascii="CMSY7" w:hAnsi="CMSY7" w:eastAsia="CMSY7"/>
                <w:b w:val="0"/>
                <w:i w:val="0"/>
                <w:color w:val="000000"/>
                <w:sz w:val="10"/>
              </w:rPr>
              <w:t>†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0"/>
              </w:rPr>
              <w:t>0</w:t>
            </w:r>
          </w:p>
        </w:tc>
      </w:tr>
      <w:tr>
        <w:trPr>
          <w:trHeight w:hRule="exact" w:val="596"/>
        </w:trPr>
        <w:tc>
          <w:tcPr>
            <w:tcW w:type="dxa" w:w="2340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424" w:after="0"/>
              <w:ind w:left="0" w:right="0" w:firstLine="0"/>
              <w:jc w:val="center"/>
            </w:pPr>
            <w:r>
              <w:rPr>
                <w:w w:val="101.54743194580078"/>
                <w:rFonts w:ascii="CMMI10" w:hAnsi="CMMI10" w:eastAsia="CMMI10"/>
                <w:b w:val="0"/>
                <w:i w:val="0"/>
                <w:color w:val="000000"/>
                <w:sz w:val="14"/>
              </w:rPr>
              <w:t>Q</w:t>
            </w:r>
            <w:r>
              <w:rPr>
                <w:rFonts w:ascii="CMR7" w:hAnsi="CMR7" w:eastAsia="CMR7"/>
                <w:b w:val="0"/>
                <w:i w:val="0"/>
                <w:color w:val="000000"/>
                <w:sz w:val="10"/>
              </w:rPr>
              <w:t>0</w:t>
            </w:r>
          </w:p>
        </w:tc>
        <w:tc>
          <w:tcPr>
            <w:tcW w:type="dxa" w:w="7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2" w:lineRule="exact" w:before="254" w:after="0"/>
              <w:ind w:left="0" w:right="3274" w:firstLine="0"/>
              <w:jc w:val="right"/>
            </w:pPr>
            <w:r>
              <w:rPr>
                <w:w w:val="101.54743194580078"/>
                <w:rFonts w:ascii="CMR10" w:hAnsi="CMR10" w:eastAsia="CMR10"/>
                <w:b w:val="0"/>
                <w:i w:val="0"/>
                <w:color w:val="000000"/>
                <w:sz w:val="14"/>
              </w:rPr>
              <w:t>Observable</w:t>
            </w:r>
          </w:p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2" w:lineRule="exact" w:before="30" w:after="0"/>
        <w:ind w:left="0" w:right="0" w:firstLine="0"/>
        <w:jc w:val="center"/>
      </w:pP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σ</w:t>
      </w:r>
      <w:r>
        <w:rPr>
          <w:rFonts w:ascii="CMMI7" w:hAnsi="CMMI7" w:eastAsia="CMMI7"/>
          <w:b w:val="0"/>
          <w:i w:val="0"/>
          <w:color w:val="000000"/>
          <w:sz w:val="10"/>
        </w:rPr>
        <w:t>k</w:t>
      </w:r>
    </w:p>
    <w:p>
      <w:pPr>
        <w:autoSpaceDN w:val="0"/>
        <w:tabs>
          <w:tab w:pos="4608" w:val="left"/>
          <w:tab w:pos="8742" w:val="left"/>
          <w:tab w:pos="8854" w:val="left"/>
        </w:tabs>
        <w:autoSpaceDE w:val="0"/>
        <w:widowControl/>
        <w:spacing w:line="246" w:lineRule="exact" w:before="120" w:after="0"/>
        <w:ind w:left="444" w:right="432" w:firstLine="0"/>
        <w:jc w:val="left"/>
      </w:pP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Q</w:t>
      </w:r>
      <w:r>
        <w:rPr>
          <w:rFonts w:ascii="CMR7" w:hAnsi="CMR7" w:eastAsia="CMR7"/>
          <w:b w:val="0"/>
          <w:i w:val="0"/>
          <w:color w:val="000000"/>
          <w:sz w:val="10"/>
        </w:rPr>
        <w:t xml:space="preserve">1 </w:t>
      </w:r>
      <w:r>
        <w:tab/>
      </w: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Q</w:t>
      </w:r>
      <w:r>
        <w:rPr>
          <w:rFonts w:ascii="CMSY7" w:hAnsi="CMSY7" w:eastAsia="CMSY7"/>
          <w:b w:val="0"/>
          <w:i w:val="0"/>
          <w:color w:val="000000"/>
          <w:sz w:val="10"/>
        </w:rPr>
        <w:t>†</w:t>
      </w:r>
      <w:r>
        <w:rPr>
          <w:rFonts w:ascii="CMR7" w:hAnsi="CMR7" w:eastAsia="CMR7"/>
          <w:b w:val="0"/>
          <w:i w:val="0"/>
          <w:color w:val="000000"/>
          <w:sz w:val="10"/>
        </w:rPr>
        <w:t xml:space="preserve">1 </w:t>
      </w:r>
      <w:r>
        <w:tab/>
      </w: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σ</w:t>
      </w:r>
      <w:r>
        <w:rPr>
          <w:rFonts w:ascii="CMMI7" w:hAnsi="CMMI7" w:eastAsia="CMMI7"/>
          <w:b w:val="0"/>
          <w:i w:val="0"/>
          <w:color w:val="000000"/>
          <w:sz w:val="10"/>
        </w:rPr>
        <w:t>k</w:t>
      </w:r>
    </w:p>
    <w:p>
      <w:pPr>
        <w:autoSpaceDN w:val="0"/>
        <w:tabs>
          <w:tab w:pos="4608" w:val="left"/>
          <w:tab w:pos="8662" w:val="left"/>
          <w:tab w:pos="8774" w:val="left"/>
        </w:tabs>
        <w:autoSpaceDE w:val="0"/>
        <w:widowControl/>
        <w:spacing w:line="244" w:lineRule="exact" w:before="1338" w:after="0"/>
        <w:ind w:left="364" w:right="288" w:firstLine="0"/>
        <w:jc w:val="left"/>
      </w:pP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Q</w:t>
      </w:r>
      <w:r>
        <w:rPr>
          <w:rFonts w:ascii="CMMI7" w:hAnsi="CMMI7" w:eastAsia="CMMI7"/>
          <w:b w:val="0"/>
          <w:i w:val="0"/>
          <w:color w:val="000000"/>
          <w:sz w:val="10"/>
        </w:rPr>
        <w:t>n</w:t>
      </w:r>
      <w:r>
        <w:rPr>
          <w:rFonts w:ascii="CMSY7" w:hAnsi="CMSY7" w:eastAsia="CMSY7"/>
          <w:b w:val="0"/>
          <w:i w:val="0"/>
          <w:color w:val="000000"/>
          <w:sz w:val="10"/>
        </w:rPr>
        <w:t>−</w:t>
      </w:r>
      <w:r>
        <w:rPr>
          <w:rFonts w:ascii="CMR7" w:hAnsi="CMR7" w:eastAsia="CMR7"/>
          <w:b w:val="0"/>
          <w:i w:val="0"/>
          <w:color w:val="000000"/>
          <w:sz w:val="10"/>
        </w:rPr>
        <w:t xml:space="preserve">2 </w:t>
      </w:r>
      <w:r>
        <w:tab/>
      </w: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Q</w:t>
      </w:r>
      <w:r>
        <w:rPr>
          <w:rFonts w:ascii="CMSY7" w:hAnsi="CMSY7" w:eastAsia="CMSY7"/>
          <w:b w:val="0"/>
          <w:i w:val="0"/>
          <w:color w:val="000000"/>
          <w:sz w:val="10"/>
        </w:rPr>
        <w:t>†</w:t>
      </w:r>
      <w:r>
        <w:rPr>
          <w:rFonts w:ascii="CMMI7" w:hAnsi="CMMI7" w:eastAsia="CMMI7"/>
          <w:b w:val="0"/>
          <w:i w:val="0"/>
          <w:color w:val="000000"/>
          <w:sz w:val="10"/>
        </w:rPr>
        <w:t>n</w:t>
      </w:r>
      <w:r>
        <w:rPr>
          <w:rFonts w:ascii="CMSY7" w:hAnsi="CMSY7" w:eastAsia="CMSY7"/>
          <w:b w:val="0"/>
          <w:i w:val="0"/>
          <w:color w:val="000000"/>
          <w:sz w:val="10"/>
        </w:rPr>
        <w:t>−</w:t>
      </w:r>
      <w:r>
        <w:rPr>
          <w:rFonts w:ascii="CMR7" w:hAnsi="CMR7" w:eastAsia="CMR7"/>
          <w:b w:val="0"/>
          <w:i w:val="0"/>
          <w:color w:val="000000"/>
          <w:sz w:val="10"/>
        </w:rPr>
        <w:t xml:space="preserve">2 </w:t>
      </w:r>
      <w:r>
        <w:tab/>
      </w: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σ</w:t>
      </w:r>
      <w:r>
        <w:rPr>
          <w:rFonts w:ascii="CMMI7" w:hAnsi="CMMI7" w:eastAsia="CMMI7"/>
          <w:b w:val="0"/>
          <w:i w:val="0"/>
          <w:color w:val="000000"/>
          <w:sz w:val="10"/>
        </w:rPr>
        <w:t>k</w:t>
      </w:r>
    </w:p>
    <w:p>
      <w:pPr>
        <w:autoSpaceDN w:val="0"/>
        <w:tabs>
          <w:tab w:pos="4608" w:val="left"/>
          <w:tab w:pos="8662" w:val="left"/>
          <w:tab w:pos="8774" w:val="left"/>
        </w:tabs>
        <w:autoSpaceDE w:val="0"/>
        <w:widowControl/>
        <w:spacing w:line="242" w:lineRule="exact" w:before="128" w:after="0"/>
        <w:ind w:left="364" w:right="288" w:firstLine="0"/>
        <w:jc w:val="left"/>
      </w:pP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Q</w:t>
      </w:r>
      <w:r>
        <w:rPr>
          <w:rFonts w:ascii="CMMI7" w:hAnsi="CMMI7" w:eastAsia="CMMI7"/>
          <w:b w:val="0"/>
          <w:i w:val="0"/>
          <w:color w:val="000000"/>
          <w:sz w:val="10"/>
        </w:rPr>
        <w:t>n</w:t>
      </w:r>
      <w:r>
        <w:rPr>
          <w:rFonts w:ascii="CMSY7" w:hAnsi="CMSY7" w:eastAsia="CMSY7"/>
          <w:b w:val="0"/>
          <w:i w:val="0"/>
          <w:color w:val="000000"/>
          <w:sz w:val="10"/>
        </w:rPr>
        <w:t>−</w:t>
      </w:r>
      <w:r>
        <w:rPr>
          <w:rFonts w:ascii="CMR7" w:hAnsi="CMR7" w:eastAsia="CMR7"/>
          <w:b w:val="0"/>
          <w:i w:val="0"/>
          <w:color w:val="000000"/>
          <w:sz w:val="10"/>
        </w:rPr>
        <w:t xml:space="preserve">1 </w:t>
      </w:r>
      <w:r>
        <w:tab/>
      </w: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Q</w:t>
      </w:r>
      <w:r>
        <w:rPr>
          <w:rFonts w:ascii="CMSY7" w:hAnsi="CMSY7" w:eastAsia="CMSY7"/>
          <w:b w:val="0"/>
          <w:i w:val="0"/>
          <w:color w:val="000000"/>
          <w:sz w:val="10"/>
        </w:rPr>
        <w:t>†</w:t>
      </w:r>
      <w:r>
        <w:rPr>
          <w:rFonts w:ascii="CMMI7" w:hAnsi="CMMI7" w:eastAsia="CMMI7"/>
          <w:b w:val="0"/>
          <w:i w:val="0"/>
          <w:color w:val="000000"/>
          <w:sz w:val="10"/>
        </w:rPr>
        <w:t>n</w:t>
      </w:r>
      <w:r>
        <w:rPr>
          <w:rFonts w:ascii="CMSY7" w:hAnsi="CMSY7" w:eastAsia="CMSY7"/>
          <w:b w:val="0"/>
          <w:i w:val="0"/>
          <w:color w:val="000000"/>
          <w:sz w:val="10"/>
        </w:rPr>
        <w:t>−</w:t>
      </w:r>
      <w:r>
        <w:rPr>
          <w:rFonts w:ascii="CMR7" w:hAnsi="CMR7" w:eastAsia="CMR7"/>
          <w:b w:val="0"/>
          <w:i w:val="0"/>
          <w:color w:val="000000"/>
          <w:sz w:val="10"/>
        </w:rPr>
        <w:t xml:space="preserve">1 </w:t>
      </w:r>
      <w:r>
        <w:tab/>
      </w:r>
      <w:r>
        <w:rPr>
          <w:w w:val="101.54743194580078"/>
          <w:rFonts w:ascii="CMMI10" w:hAnsi="CMMI10" w:eastAsia="CMMI10"/>
          <w:b w:val="0"/>
          <w:i w:val="0"/>
          <w:color w:val="000000"/>
          <w:sz w:val="14"/>
        </w:rPr>
        <w:t>σ</w:t>
      </w:r>
      <w:r>
        <w:rPr>
          <w:rFonts w:ascii="CMMI7" w:hAnsi="CMMI7" w:eastAsia="CMMI7"/>
          <w:b w:val="0"/>
          <w:i w:val="0"/>
          <w:color w:val="000000"/>
          <w:sz w:val="10"/>
        </w:rPr>
        <w:t>k</w:t>
      </w:r>
    </w:p>
    <w:p>
      <w:pPr>
        <w:autoSpaceDN w:val="0"/>
        <w:autoSpaceDE w:val="0"/>
        <w:widowControl/>
        <w:spacing w:line="410" w:lineRule="exact" w:before="576" w:after="0"/>
        <w:ind w:left="0" w:right="0" w:firstLine="0"/>
        <w:jc w:val="center"/>
      </w:pP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>Fig. 3. Expectation value calculation by a double-depth circuit. The observable Pauli tensors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σ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}</w:t>
      </w:r>
      <w:r>
        <w:rPr>
          <w:rFonts w:ascii="rtxr" w:hAnsi="rtxr" w:eastAsia="rtxr"/>
          <w:b w:val="0"/>
          <w:i w:val="0"/>
          <w:color w:val="000000"/>
          <w:sz w:val="18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I</w:t>
      </w:r>
      <w:r>
        <w:rPr>
          <w:rFonts w:ascii="rtxmi" w:hAnsi="rtxmi" w:eastAsia="rtxmi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X</w:t>
      </w:r>
      <w:r>
        <w:rPr>
          <w:rFonts w:ascii="rtxmi" w:hAnsi="rtxmi" w:eastAsia="rtxmi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Y</w:t>
      </w:r>
      <w:r>
        <w:rPr>
          <w:rFonts w:ascii="rtxmi" w:hAnsi="rtxmi" w:eastAsia="rtxmi"/>
          <w:b w:val="0"/>
          <w:i w:val="0"/>
          <w:color w:val="000000"/>
          <w:sz w:val="18"/>
        </w:rPr>
        <w:t>,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Z</w:t>
      </w:r>
      <w:r>
        <w:rPr>
          <w:rFonts w:ascii="txsy" w:hAnsi="txsy" w:eastAsia="txsy"/>
          <w:b w:val="0"/>
          <w:i w:val="0"/>
          <w:color w:val="000000"/>
          <w:sz w:val="18"/>
        </w:rPr>
        <w:t>}</w:t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.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Hatched tensors after observable Pauli operators are the conjugates of the ones on the left-hand side.</w:t>
      </w:r>
    </w:p>
    <w:p>
      <w:pPr>
        <w:autoSpaceDN w:val="0"/>
        <w:autoSpaceDE w:val="0"/>
        <w:widowControl/>
        <w:spacing w:line="252" w:lineRule="exact" w:before="354" w:after="0"/>
        <w:ind w:left="166" w:right="168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that the observable Pauli products are sufficiently local. For deeper quantum circuits and/or less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local observables, the light-cone simplification is unable to reduce the computational complexity </w:t>
      </w:r>
      <w:r>
        <w:rPr>
          <w:w w:val="98.7248526679145"/>
          <w:rFonts w:ascii="BeraSerif" w:hAnsi="BeraSerif" w:eastAsia="BeraSerif"/>
          <w:b w:val="0"/>
          <w:i w:val="0"/>
          <w:color w:val="000000"/>
          <w:sz w:val="18"/>
        </w:rPr>
        <w:t xml:space="preserve">significantly enough to justify doubling of the tensor network depth. In this case, the second method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will be faster, provided that the number of qubits is not too high. On the other hand, both methods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are highly amenable to parallelization, and TN-QVM exploits that.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27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3.2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Matrix Product State Simulation</w:t>
      </w:r>
    </w:p>
    <w:p>
      <w:pPr>
        <w:autoSpaceDN w:val="0"/>
        <w:autoSpaceDE w:val="0"/>
        <w:widowControl/>
        <w:spacing w:line="250" w:lineRule="exact" w:before="62" w:after="0"/>
        <w:ind w:left="166" w:right="144" w:firstLine="2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TNQVM also provides an approximate simulator based on the MPS factorization of the circuit 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>wave-function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26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 xml:space="preserve">], where a user can specify the numerical limit for the singular value truncation as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well as the maximum entanglement bond dimension. Built upon the parallel capabilities of ExaTN,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we have implemented a distributed MPS tensor processing scheme in which the MPS tensors are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distributed evenly across available compute nodes.</w:t>
      </w:r>
    </w:p>
    <w:p>
      <w:pPr>
        <w:autoSpaceDN w:val="0"/>
        <w:autoSpaceDE w:val="0"/>
        <w:widowControl/>
        <w:spacing w:line="252" w:lineRule="exact" w:before="0" w:after="0"/>
        <w:ind w:left="174" w:right="174" w:firstLine="200"/>
        <w:jc w:val="both"/>
      </w:pP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>A quantum circuit simulation via the MPS simulator backend (named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exatn-mps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) is performed via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 standard sequential contraction and decomposition steps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26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]. Single-qubit gate tensors can be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absorbed into the qubit MPS tensors directly. The application of the two-qubit entangling gates 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two neighboring MPS tensors is computed by:</w:t>
      </w:r>
    </w:p>
    <w:p>
      <w:pPr>
        <w:autoSpaceDN w:val="0"/>
        <w:autoSpaceDE w:val="0"/>
        <w:widowControl/>
        <w:spacing w:line="330" w:lineRule="exact" w:before="116" w:after="0"/>
        <w:ind w:left="4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Merge (contract) the two MPS tensors with the rank-4 gate tensor.</w:t>
      </w:r>
    </w:p>
    <w:p>
      <w:pPr>
        <w:autoSpaceDN w:val="0"/>
        <w:tabs>
          <w:tab w:pos="656" w:val="left"/>
        </w:tabs>
        <w:autoSpaceDE w:val="0"/>
        <w:widowControl/>
        <w:spacing w:line="106" w:lineRule="exact" w:before="226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Decompose the resulting tensor back into two MPS tensors via the singular value decomposition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API 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exatn::decomposeTensorSVDLR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 of ExaTN.</w:t>
      </w:r>
    </w:p>
    <w:p>
      <w:pPr>
        <w:autoSpaceDN w:val="0"/>
        <w:autoSpaceDE w:val="0"/>
        <w:widowControl/>
        <w:spacing w:line="178" w:lineRule="exact" w:before="218" w:after="0"/>
        <w:ind w:left="662" w:right="174" w:hanging="178"/>
        <w:jc w:val="both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Truncate the dimension of the connecting leg between the two post-SVD MPS tensors,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so-called bond dimension, according to chosen numerical accuracy or memory constraint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settings.</w:t>
      </w:r>
    </w:p>
    <w:p>
      <w:pPr>
        <w:autoSpaceDN w:val="0"/>
        <w:autoSpaceDE w:val="0"/>
        <w:widowControl/>
        <w:spacing w:line="332" w:lineRule="exact" w:before="66" w:after="0"/>
        <w:ind w:left="4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Update the MPS ansatz with the new MPS tensors.</w:t>
      </w:r>
    </w:p>
    <w:p>
      <w:pPr>
        <w:autoSpaceDN w:val="0"/>
        <w:autoSpaceDE w:val="0"/>
        <w:widowControl/>
        <w:spacing w:line="150" w:lineRule="exact" w:before="178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1422400</wp:posOffset>
            </wp:positionV>
            <wp:extent cx="5016500" cy="58420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8420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2340"/>
        <w:gridCol w:w="2340"/>
        <w:gridCol w:w="2340"/>
        <w:gridCol w:w="2340"/>
      </w:tblGrid>
      <w:tr>
        <w:trPr>
          <w:trHeight w:hRule="exact" w:val="552"/>
        </w:trPr>
        <w:tc>
          <w:tcPr>
            <w:tcW w:type="dxa" w:w="3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1106" w:after="0"/>
              <w:ind w:left="0" w:right="1172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12"/>
              </w:rPr>
              <w:t>Kraus Tensor</w:t>
            </w:r>
          </w:p>
        </w:tc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92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11</w:t>
            </w:r>
          </w:p>
        </w:tc>
      </w:tr>
      <w:tr>
        <w:trPr>
          <w:trHeight w:hRule="exact" w:val="728"/>
        </w:trPr>
        <w:tc>
          <w:tcPr>
            <w:tcW w:type="dxa" w:w="2340"/>
            <w:vMerge/>
            <w:tcBorders/>
          </w:tcPr>
          <w:p/>
        </w:tc>
        <w:tc>
          <w:tcPr>
            <w:tcW w:type="dxa" w:w="4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28" w:after="0"/>
              <w:ind w:left="0" w:right="650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6"/>
              </w:rPr>
              <w:t>σ</w:t>
            </w:r>
            <w:r>
              <w:rPr>
                <w:w w:val="101.87327645041726"/>
                <w:rFonts w:ascii="CMMI7" w:hAnsi="CMMI7" w:eastAsia="CMMI7"/>
                <w:b w:val="0"/>
                <w:i w:val="0"/>
                <w:color w:val="000000"/>
                <w:sz w:val="11"/>
              </w:rPr>
              <w:t>k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0" w:lineRule="exact" w:before="56" w:after="504"/>
        <w:ind w:left="0" w:right="6414" w:firstLine="0"/>
        <w:jc w:val="right"/>
      </w:pPr>
      <w:r>
        <w:rPr>
          <w:rFonts w:ascii="CMMI10" w:hAnsi="CMMI10" w:eastAsia="CMMI10"/>
          <w:b w:val="0"/>
          <w:i w:val="0"/>
          <w:color w:val="000000"/>
          <w:sz w:val="12"/>
        </w:rPr>
        <w:t>Q</w:t>
      </w:r>
      <w:r>
        <w:rPr>
          <w:w w:val="104.38024997711182"/>
          <w:rFonts w:ascii="CMR7" w:hAnsi="CMR7" w:eastAsia="CMR7"/>
          <w:b w:val="0"/>
          <w:i w:val="0"/>
          <w:color w:val="000000"/>
          <w:sz w:val="8"/>
        </w:rPr>
        <w:t>0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00.0" w:type="dxa"/>
      </w:tblPr>
      <w:tblGrid>
        <w:gridCol w:w="3120"/>
        <w:gridCol w:w="3120"/>
        <w:gridCol w:w="3120"/>
      </w:tblGrid>
      <w:tr>
        <w:trPr>
          <w:trHeight w:hRule="exact" w:val="512"/>
        </w:trPr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60" w:after="0"/>
              <w:ind w:left="0" w:right="1994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2"/>
              </w:rPr>
              <w:t>Q</w:t>
            </w:r>
            <w:r>
              <w:rPr>
                <w:w w:val="104.38024997711182"/>
                <w:rFonts w:ascii="CMR7" w:hAnsi="CMR7" w:eastAsia="CMR7"/>
                <w:b w:val="0"/>
                <w:i w:val="0"/>
                <w:color w:val="000000"/>
                <w:sz w:val="8"/>
              </w:rPr>
              <w:t>1</w:t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98" w:lineRule="exact" w:before="724" w:after="0"/>
              <w:ind w:left="0" w:right="354" w:firstLine="0"/>
              <w:jc w:val="right"/>
            </w:pPr>
            <w:r>
              <w:rPr>
                <w:rFonts w:ascii="CMMI12" w:hAnsi="CMMI12" w:eastAsia="CMMI12"/>
                <w:b w:val="0"/>
                <w:i w:val="0"/>
                <w:color w:val="000000"/>
                <w:sz w:val="40"/>
              </w:rPr>
              <w:t>ρ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8" w:after="0"/>
              <w:ind w:left="0" w:right="650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6"/>
              </w:rPr>
              <w:t>σ</w:t>
            </w:r>
            <w:r>
              <w:rPr>
                <w:w w:val="101.87327645041726"/>
                <w:rFonts w:ascii="CMMI7" w:hAnsi="CMMI7" w:eastAsia="CMMI7"/>
                <w:b w:val="0"/>
                <w:i w:val="0"/>
                <w:color w:val="000000"/>
                <w:sz w:val="11"/>
              </w:rPr>
              <w:t>k</w:t>
            </w:r>
          </w:p>
        </w:tc>
      </w:tr>
      <w:tr>
        <w:trPr>
          <w:trHeight w:hRule="exact" w:val="634"/>
        </w:trPr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0" w:lineRule="exact" w:before="232" w:after="0"/>
              <w:ind w:left="0" w:right="1994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2"/>
              </w:rPr>
              <w:t>Q</w:t>
            </w:r>
            <w:r>
              <w:rPr>
                <w:w w:val="104.38024997711182"/>
                <w:rFonts w:ascii="CMR7" w:hAnsi="CMR7" w:eastAsia="CMR7"/>
                <w:b w:val="0"/>
                <w:i w:val="0"/>
                <w:color w:val="000000"/>
                <w:sz w:val="8"/>
              </w:rPr>
              <w:t>2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14" w:after="0"/>
              <w:ind w:left="0" w:right="650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6"/>
              </w:rPr>
              <w:t>σ</w:t>
            </w:r>
            <w:r>
              <w:rPr>
                <w:w w:val="101.87327645041726"/>
                <w:rFonts w:ascii="CMMI7" w:hAnsi="CMMI7" w:eastAsia="CMMI7"/>
                <w:b w:val="0"/>
                <w:i w:val="0"/>
                <w:color w:val="000000"/>
                <w:sz w:val="11"/>
              </w:rPr>
              <w:t>k</w:t>
            </w:r>
          </w:p>
        </w:tc>
      </w:tr>
      <w:tr>
        <w:trPr>
          <w:trHeight w:hRule="exact" w:val="600"/>
        </w:trPr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18" w:lineRule="exact" w:before="282" w:after="0"/>
              <w:ind w:left="0" w:right="1994" w:firstLine="0"/>
              <w:jc w:val="right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2"/>
              </w:rPr>
              <w:t>Q</w:t>
            </w:r>
            <w:r>
              <w:rPr>
                <w:w w:val="104.38024997711182"/>
                <w:rFonts w:ascii="CMR7" w:hAnsi="CMR7" w:eastAsia="CMR7"/>
                <w:b w:val="0"/>
                <w:i w:val="0"/>
                <w:color w:val="000000"/>
                <w:sz w:val="8"/>
              </w:rPr>
              <w:t>3</w:t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20" w:lineRule="exact" w:before="478" w:after="0"/>
        <w:ind w:left="0" w:right="6132" w:firstLine="0"/>
        <w:jc w:val="right"/>
      </w:pPr>
      <w:r>
        <w:rPr>
          <w:rFonts w:ascii="CMR10" w:hAnsi="CMR10" w:eastAsia="CMR10"/>
          <w:b w:val="0"/>
          <w:i w:val="0"/>
          <w:color w:val="000000"/>
          <w:sz w:val="12"/>
        </w:rPr>
        <w:t>Kraus Tensor</w:t>
      </w:r>
    </w:p>
    <w:p>
      <w:pPr>
        <w:autoSpaceDN w:val="0"/>
        <w:autoSpaceDE w:val="0"/>
        <w:widowControl/>
        <w:spacing w:line="224" w:lineRule="exact" w:before="256" w:after="0"/>
        <w:ind w:left="168" w:right="1296" w:firstLine="7704"/>
        <w:jc w:val="left"/>
      </w:pPr>
      <w:r>
        <w:rPr>
          <w:rFonts w:ascii="CMMI10" w:hAnsi="CMMI10" w:eastAsia="CMMI10"/>
          <w:b w:val="0"/>
          <w:i w:val="0"/>
          <w:color w:val="000000"/>
          <w:sz w:val="16"/>
        </w:rPr>
        <w:t>σ</w:t>
      </w:r>
      <w:r>
        <w:rPr>
          <w:w w:val="101.87327645041726"/>
          <w:rFonts w:ascii="CMMI7" w:hAnsi="CMMI7" w:eastAsia="CMMI7"/>
          <w:b w:val="0"/>
          <w:i w:val="0"/>
          <w:color w:val="000000"/>
          <w:sz w:val="11"/>
        </w:rPr>
        <w:t xml:space="preserve">k </w:t>
      </w:r>
      <w:r>
        <w:rPr>
          <w:w w:val="101.82502269744873"/>
          <w:rFonts w:ascii="BeraSans" w:hAnsi="BeraSans" w:eastAsia="BeraSans"/>
          <w:b w:val="0"/>
          <w:i w:val="0"/>
          <w:color w:val="000000"/>
          <w:sz w:val="16"/>
        </w:rPr>
        <w:t xml:space="preserve">(a) Cartoon of a density matrix simulation. The circles represent a </w:t>
      </w:r>
      <w:r>
        <w:br/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tensor product of unentangled qubit density matrices, the adjoint </w:t>
      </w:r>
      <w:r>
        <w:br/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action of one and two qubit unitaries is indicated by the rounded </w:t>
      </w:r>
      <w:r>
        <w:br/>
      </w:r>
      <w:r>
        <w:rPr>
          <w:rFonts w:ascii="BeraSans" w:hAnsi="BeraSans" w:eastAsia="BeraSans"/>
          <w:b w:val="0"/>
          <w:i w:val="0"/>
          <w:color w:val="000000"/>
          <w:sz w:val="16"/>
        </w:rPr>
        <w:t>rectangles, and the local Kraus superoperators are U-shaped tensors.</w:t>
      </w:r>
    </w:p>
    <w:p>
      <w:pPr>
        <w:autoSpaceDN w:val="0"/>
        <w:autoSpaceDE w:val="0"/>
        <w:widowControl/>
        <w:spacing w:line="162" w:lineRule="exact" w:before="72" w:after="0"/>
        <w:ind w:left="0" w:right="760" w:firstLine="0"/>
        <w:jc w:val="right"/>
      </w:pPr>
      <w:r>
        <w:rPr>
          <w:rFonts w:ascii="BeraSans" w:hAnsi="BeraSans" w:eastAsia="BeraSans"/>
          <w:b w:val="0"/>
          <w:i w:val="0"/>
          <w:color w:val="000000"/>
          <w:sz w:val="16"/>
        </w:rPr>
        <w:t>(b) Expectation value by trace</w:t>
      </w:r>
    </w:p>
    <w:p>
      <w:pPr>
        <w:autoSpaceDN w:val="0"/>
        <w:autoSpaceDE w:val="0"/>
        <w:widowControl/>
        <w:spacing w:line="160" w:lineRule="exact" w:before="308" w:after="0"/>
        <w:ind w:left="0" w:right="0" w:firstLine="0"/>
        <w:jc w:val="center"/>
      </w:pPr>
      <w:r>
        <w:rPr>
          <w:rFonts w:ascii="BeraSans" w:hAnsi="BeraSans" w:eastAsia="BeraSans"/>
          <w:b w:val="0"/>
          <w:i w:val="0"/>
          <w:color w:val="000000"/>
          <w:sz w:val="16"/>
        </w:rPr>
        <w:t>Fig. 4. TNQVM density matrix simulation with noise inclusion</w:t>
      </w:r>
    </w:p>
    <w:p>
      <w:pPr>
        <w:autoSpaceDN w:val="0"/>
        <w:autoSpaceDE w:val="0"/>
        <w:widowControl/>
        <w:spacing w:line="250" w:lineRule="exact" w:before="650" w:after="0"/>
        <w:ind w:left="166" w:right="170" w:firstLine="20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By following this procedure, we can compute the MPS tensor network approximating the full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state vector at the end of the quantum circuit. Expectation values or bit-string amplitudes can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be computed in the same manner as previously described for the full tensor network contraction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strategy. We also want to note that the transformation of quantum circuits into this nearest-neighbor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form by injecting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SWAP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gates is performed automatically by the XACC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IRTransformation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 service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when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exatn-mps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backend is selected.</w:t>
      </w:r>
    </w:p>
    <w:p>
      <w:pPr>
        <w:autoSpaceDN w:val="0"/>
        <w:autoSpaceDE w:val="0"/>
        <w:widowControl/>
        <w:spacing w:line="252" w:lineRule="exact" w:before="0" w:after="0"/>
        <w:ind w:left="168" w:right="0" w:firstLine="200"/>
        <w:jc w:val="left"/>
      </w:pP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In our implementation of the distributed MPS algorithm each MPI process holds a sub-set of MPS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tensors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qubits</w:t>
      </w:r>
      <w:r>
        <w:rPr>
          <w:rFonts w:ascii="rtxmi" w:hAnsi="rtxmi" w:eastAsia="rtxmi"/>
          <w:b w:val="0"/>
          <w:i w:val="0"/>
          <w:color w:val="000000"/>
          <w:sz w:val="20"/>
        </w:rPr>
        <w:t>/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N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processes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). Multiple process groups 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exatn::ProcessGroup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) are then created where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each process group consists of a pair of neighboring MPI processes to facilitate local communication.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application of entangling gates between neighboring tensors on different MPI processes is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performed by:</w:t>
      </w:r>
    </w:p>
    <w:p>
      <w:pPr>
        <w:autoSpaceDN w:val="0"/>
        <w:tabs>
          <w:tab w:pos="662" w:val="left"/>
        </w:tabs>
        <w:autoSpaceDE w:val="0"/>
        <w:widowControl/>
        <w:spacing w:line="104" w:lineRule="exact" w:before="420" w:after="0"/>
        <w:ind w:left="484" w:right="144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Use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exatn::replicateTensor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API within a pair of neighboring MPI processes to broadcast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 MPS tensor right-to-left.</w:t>
      </w:r>
    </w:p>
    <w:p>
      <w:pPr>
        <w:autoSpaceDN w:val="0"/>
        <w:tabs>
          <w:tab w:pos="656" w:val="left"/>
          <w:tab w:pos="662" w:val="left"/>
        </w:tabs>
        <w:autoSpaceDE w:val="0"/>
        <w:widowControl/>
        <w:spacing w:line="202" w:lineRule="exact" w:before="196" w:after="0"/>
        <w:ind w:left="484" w:right="0" w:firstLine="0"/>
        <w:jc w:val="left"/>
      </w:pP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The left process (smaller MPI rank) performs the contraction and SVD decomposition locally.</w:t>
      </w:r>
      <w:r>
        <w:rPr>
          <w:rFonts w:ascii="txsy" w:hAnsi="txsy" w:eastAsia="txsy"/>
          <w:b w:val="0"/>
          <w:i w:val="0"/>
          <w:color w:val="000000"/>
          <w:sz w:val="20"/>
        </w:rPr>
        <w:t>•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The resulting right tensor will then be forwarded left-to-right using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exatn::replicateTensor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two processes now decouple and can continue their independent processing of gates on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their subset of managed qubits.</w:t>
      </w:r>
    </w:p>
    <w:p>
      <w:pPr>
        <w:autoSpaceDN w:val="0"/>
        <w:autoSpaceDE w:val="0"/>
        <w:widowControl/>
        <w:spacing w:line="150" w:lineRule="exact" w:before="362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1435100</wp:posOffset>
            </wp:positionV>
            <wp:extent cx="4953000" cy="58293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29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1040"/>
        <w:gridCol w:w="1040"/>
        <w:gridCol w:w="1040"/>
        <w:gridCol w:w="1040"/>
        <w:gridCol w:w="1040"/>
        <w:gridCol w:w="1040"/>
        <w:gridCol w:w="1040"/>
        <w:gridCol w:w="1040"/>
        <w:gridCol w:w="1040"/>
      </w:tblGrid>
      <w:tr>
        <w:trPr>
          <w:trHeight w:hRule="exact" w:val="400"/>
        </w:trPr>
        <w:tc>
          <w:tcPr>
            <w:tcW w:type="dxa" w:w="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12</w:t>
            </w:r>
          </w:p>
        </w:tc>
        <w:tc>
          <w:tcPr>
            <w:tcW w:type="dxa" w:w="2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796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84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  <w:tr>
        <w:trPr>
          <w:trHeight w:hRule="exact" w:val="740"/>
        </w:trPr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384" w:after="0"/>
              <w:ind w:left="0" w:right="236" w:firstLine="0"/>
              <w:jc w:val="right"/>
            </w:pPr>
            <w:r>
              <w:rPr>
                <w:w w:val="101.21111339992947"/>
                <w:rFonts w:ascii="CMEX10" w:hAnsi="CMEX10" w:eastAsia="CMEX10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000000"/>
                <w:sz w:val="13"/>
              </w:rPr>
              <w:t>0</w:t>
            </w:r>
          </w:p>
        </w:tc>
        <w:tc>
          <w:tcPr>
            <w:tcW w:type="dxa" w:w="4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80" w:after="0"/>
              <w:ind w:left="0" w:right="0" w:firstLine="0"/>
              <w:jc w:val="center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K</w:t>
            </w:r>
          </w:p>
        </w:tc>
        <w:tc>
          <w:tcPr>
            <w:tcW w:type="dxa" w:w="565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402" w:after="0"/>
              <w:ind w:left="178" w:right="0" w:firstLine="0"/>
              <w:jc w:val="lef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FFFFFF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FFFFFF"/>
                <w:sz w:val="13"/>
              </w:rPr>
              <w:t>0</w:t>
            </w:r>
          </w:p>
        </w:tc>
      </w:tr>
      <w:tr>
        <w:trPr>
          <w:trHeight w:hRule="exact" w:val="560"/>
        </w:trPr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98" w:after="0"/>
              <w:ind w:left="0" w:right="96" w:firstLine="0"/>
              <w:jc w:val="righ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20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98" w:after="0"/>
              <w:ind w:left="0" w:right="1052" w:firstLine="0"/>
              <w:jc w:val="righ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1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8" w:lineRule="exact" w:before="140" w:after="0"/>
              <w:ind w:left="0" w:right="244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13"/>
              </w:rPr>
              <w:t>Kraus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88" w:after="0"/>
              <w:ind w:left="0" w:right="110" w:firstLine="0"/>
              <w:jc w:val="right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CMR7" w:hAnsi="CMR7" w:eastAsia="CMR7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314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3"/>
              </w:rPr>
              <w:t>K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402" w:after="0"/>
              <w:ind w:left="146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FFFFFF"/>
                <w:sz w:val="13"/>
              </w:rPr>
              <w:t>T</w:t>
            </w:r>
            <w:r>
              <w:rPr>
                <w:rFonts w:ascii="CMR7" w:hAnsi="CMR7" w:eastAsia="CMR7"/>
                <w:b w:val="0"/>
                <w:i w:val="0"/>
                <w:color w:val="FFFFFF"/>
                <w:sz w:val="9"/>
              </w:rPr>
              <w:t>1</w:t>
            </w:r>
          </w:p>
        </w:tc>
      </w:tr>
      <w:tr>
        <w:trPr>
          <w:trHeight w:hRule="exact" w:val="402"/>
        </w:trPr>
        <w:tc>
          <w:tcPr>
            <w:tcW w:type="dxa" w:w="1040"/>
            <w:vMerge/>
            <w:tcBorders/>
          </w:tcPr>
          <w:p/>
        </w:tc>
        <w:tc>
          <w:tcPr>
            <w:tcW w:type="dxa" w:w="1040"/>
            <w:vMerge/>
            <w:tcBorders/>
          </w:tcPr>
          <w:p/>
        </w:tc>
        <w:tc>
          <w:tcPr>
            <w:tcW w:type="dxa" w:w="1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28" w:after="0"/>
              <w:ind w:left="0" w:right="236" w:firstLine="0"/>
              <w:jc w:val="right"/>
            </w:pPr>
            <w:r>
              <w:rPr>
                <w:w w:val="101.21111339992947"/>
                <w:rFonts w:ascii="CMEX10" w:hAnsi="CMEX10" w:eastAsia="CMEX10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4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4" w:after="0"/>
              <w:ind w:left="0" w:right="0" w:firstLine="0"/>
              <w:jc w:val="center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K</w:t>
            </w:r>
          </w:p>
        </w:tc>
        <w:tc>
          <w:tcPr>
            <w:tcW w:type="dxa" w:w="565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46" w:after="0"/>
              <w:ind w:left="178" w:right="0" w:firstLine="0"/>
              <w:jc w:val="lef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FFFFFF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FFFFFF"/>
                <w:sz w:val="13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130" w:lineRule="exact" w:before="44" w:after="52"/>
        <w:ind w:left="0" w:right="3060" w:firstLine="0"/>
        <w:jc w:val="right"/>
      </w:pPr>
      <w:r>
        <w:rPr>
          <w:rFonts w:ascii="CMR10" w:hAnsi="CMR10" w:eastAsia="CMR10"/>
          <w:b w:val="0"/>
          <w:i w:val="0"/>
          <w:color w:val="000000"/>
          <w:sz w:val="13"/>
        </w:rPr>
        <w:t>Contract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40.0" w:type="dxa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</w:tblGrid>
      <w:tr>
        <w:trPr>
          <w:trHeight w:hRule="exact" w:val="372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4" w:after="0"/>
              <w:ind w:left="0" w:right="96" w:firstLine="0"/>
              <w:jc w:val="righ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40" w:after="0"/>
              <w:ind w:left="0" w:right="0" w:firstLine="0"/>
              <w:jc w:val="center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K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54" w:after="0"/>
              <w:ind w:left="356" w:right="0" w:firstLine="0"/>
              <w:jc w:val="lef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788" w:after="0"/>
              <w:ind w:left="0" w:right="232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13"/>
              </w:rPr>
              <w:t>Merged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906" w:after="0"/>
              <w:ind w:left="0" w:right="0" w:firstLine="0"/>
              <w:jc w:val="center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13"/>
              </w:rPr>
              <w:t>SVD</w:t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72" w:after="0"/>
              <w:ind w:left="0" w:right="0" w:firstLine="0"/>
              <w:jc w:val="center"/>
            </w:pPr>
            <w:r>
              <w:rPr>
                <w:rFonts w:ascii="CMEX10" w:hAnsi="CMEX10" w:eastAsia="CMEX10"/>
                <w:b w:val="0"/>
                <w:i w:val="0"/>
                <w:color w:val="000000"/>
                <w:sz w:val="13"/>
              </w:rPr>
              <w:t>�</w:t>
            </w:r>
            <w:r>
              <w:rPr>
                <w:rFonts w:ascii="CMMI10" w:hAnsi="CMMI10" w:eastAsia="CMMI10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CMR7" w:hAnsi="CMR7" w:eastAsia="CMR7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6" w:lineRule="exact" w:before="684" w:after="0"/>
              <w:ind w:left="0" w:right="0" w:firstLine="0"/>
              <w:jc w:val="center"/>
            </w:pPr>
            <w:r>
              <w:rPr>
                <w:rFonts w:ascii="CMMI10" w:hAnsi="CMMI10" w:eastAsia="CMMI10"/>
                <w:b w:val="0"/>
                <w:i w:val="0"/>
                <w:color w:val="000000"/>
                <w:sz w:val="13"/>
              </w:rPr>
              <w:t>K</w:t>
            </w:r>
            <w:r>
              <w:rPr>
                <w:rFonts w:ascii="CMSY7" w:hAnsi="CMSY7" w:eastAsia="CMSY7"/>
                <w:b w:val="0"/>
                <w:i w:val="0"/>
                <w:color w:val="000000"/>
                <w:sz w:val="9"/>
              </w:rPr>
              <w:t>′</w:t>
            </w:r>
          </w:p>
        </w:tc>
        <w:tc>
          <w:tcPr>
            <w:tcW w:type="dxa" w:w="10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786" w:after="0"/>
              <w:ind w:left="124" w:right="0" w:firstLine="0"/>
              <w:jc w:val="left"/>
            </w:pPr>
            <w:r>
              <w:rPr>
                <w:rFonts w:ascii="CMMI10" w:hAnsi="CMMI10" w:eastAsia="CMMI10"/>
                <w:b w:val="0"/>
                <w:i w:val="0"/>
                <w:color w:val="FFFFFF"/>
                <w:sz w:val="13"/>
              </w:rPr>
              <w:t>T</w:t>
            </w:r>
            <w:r>
              <w:rPr>
                <w:rFonts w:ascii="CMR7" w:hAnsi="CMR7" w:eastAsia="CMR7"/>
                <w:b w:val="0"/>
                <w:i w:val="0"/>
                <w:color w:val="FFFFFF"/>
                <w:sz w:val="9"/>
              </w:rPr>
              <w:t>1</w:t>
            </w:r>
          </w:p>
        </w:tc>
      </w:tr>
      <w:tr>
        <w:trPr>
          <w:trHeight w:hRule="exact" w:val="62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72" w:after="0"/>
              <w:ind w:left="0" w:right="236" w:firstLine="0"/>
              <w:jc w:val="right"/>
            </w:pPr>
            <w:r>
              <w:rPr>
                <w:w w:val="101.21111339992947"/>
                <w:rFonts w:ascii="CMEX10" w:hAnsi="CMEX10" w:eastAsia="CMEX10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90" w:after="0"/>
              <w:ind w:left="188" w:right="0" w:firstLine="0"/>
              <w:jc w:val="lef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FFFFFF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FFFFFF"/>
                <w:sz w:val="13"/>
              </w:rPr>
              <w:t>2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06" w:after="0"/>
              <w:ind w:left="0" w:right="96" w:firstLine="0"/>
              <w:jc w:val="righ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92" w:after="0"/>
              <w:ind w:left="0" w:right="0" w:firstLine="0"/>
              <w:jc w:val="center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K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06" w:after="0"/>
              <w:ind w:left="356" w:right="0" w:firstLine="0"/>
              <w:jc w:val="lef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D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0" w:lineRule="exact" w:before="460" w:after="0"/>
              <w:ind w:left="0" w:right="128" w:firstLine="0"/>
              <w:jc w:val="right"/>
            </w:pPr>
            <w:r>
              <w:rPr>
                <w:rFonts w:ascii="CMR10" w:hAnsi="CMR10" w:eastAsia="CMR10"/>
                <w:b w:val="0"/>
                <w:i w:val="0"/>
                <w:color w:val="000000"/>
                <w:sz w:val="13"/>
              </w:rPr>
              <w:t>SVD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  <w:tr>
        <w:trPr>
          <w:trHeight w:hRule="exact" w:val="312"/>
        </w:trPr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6" w:after="0"/>
              <w:ind w:left="0" w:right="236" w:firstLine="0"/>
              <w:jc w:val="right"/>
            </w:pPr>
            <w:r>
              <w:rPr>
                <w:w w:val="101.21111339992947"/>
                <w:rFonts w:ascii="CMEX10" w:hAnsi="CMEX10" w:eastAsia="CMEX10"/>
                <w:b w:val="0"/>
                <w:i w:val="0"/>
                <w:color w:val="000000"/>
                <w:sz w:val="18"/>
              </w:rPr>
              <w:t>�</w:t>
            </w:r>
            <w:r>
              <w:rPr>
                <w:w w:val="101.21111339992947"/>
                <w:rFonts w:ascii="CMMI10" w:hAnsi="CMMI10" w:eastAsia="CMMI10"/>
                <w:b w:val="0"/>
                <w:i w:val="0"/>
                <w:color w:val="000000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74" w:after="0"/>
              <w:ind w:left="188" w:right="0" w:firstLine="0"/>
              <w:jc w:val="left"/>
            </w:pPr>
            <w:r>
              <w:rPr>
                <w:w w:val="101.21111339992947"/>
                <w:rFonts w:ascii="CMMI10" w:hAnsi="CMMI10" w:eastAsia="CMMI10"/>
                <w:b w:val="0"/>
                <w:i w:val="0"/>
                <w:color w:val="FFFFFF"/>
                <w:sz w:val="18"/>
              </w:rPr>
              <w:t>T</w:t>
            </w:r>
            <w:r>
              <w:rPr>
                <w:w w:val="98.09661278357873"/>
                <w:rFonts w:ascii="CMR7" w:hAnsi="CMR7" w:eastAsia="CMR7"/>
                <w:b w:val="0"/>
                <w:i w:val="0"/>
                <w:color w:val="FFFFFF"/>
                <w:sz w:val="13"/>
              </w:rPr>
              <w:t>3</w:t>
            </w:r>
          </w:p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  <w:tc>
          <w:tcPr>
            <w:tcW w:type="dxa" w:w="11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4" w:lineRule="exact" w:before="30" w:after="0"/>
        <w:ind w:left="0" w:right="898" w:firstLine="0"/>
        <w:jc w:val="right"/>
      </w:pP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>(b) Contract a Kraus tensor and decompose</w:t>
      </w:r>
    </w:p>
    <w:p>
      <w:pPr>
        <w:autoSpaceDN w:val="0"/>
        <w:autoSpaceDE w:val="0"/>
        <w:widowControl/>
        <w:spacing w:line="160" w:lineRule="exact" w:before="68" w:after="26"/>
        <w:ind w:left="0" w:right="870" w:firstLine="0"/>
        <w:jc w:val="right"/>
      </w:pPr>
      <w:r>
        <w:rPr>
          <w:rFonts w:ascii="BeraSans" w:hAnsi="BeraSans" w:eastAsia="BeraSans"/>
          <w:b w:val="0"/>
          <w:i w:val="0"/>
          <w:color w:val="000000"/>
          <w:sz w:val="16"/>
        </w:rPr>
        <w:t>(SVD) back to the locally-purified matrix prod-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898" w:right="144" w:hanging="6"/>
        <w:jc w:val="left"/>
      </w:pPr>
      <w:r>
        <w:rPr>
          <w:w w:val="101.52479410171509"/>
          <w:rFonts w:ascii="BeraSans" w:hAnsi="BeraSans" w:eastAsia="BeraSans"/>
          <w:b w:val="0"/>
          <w:i w:val="0"/>
          <w:color w:val="000000"/>
          <w:sz w:val="16"/>
        </w:rPr>
        <w:t>(a) Locally-purified MPS tensor network: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K</w:t>
      </w:r>
      <w:r>
        <w:rPr>
          <w:w w:val="101.52479410171509"/>
          <w:rFonts w:ascii="BeraSans" w:hAnsi="BeraSans" w:eastAsia="BeraSans"/>
          <w:b w:val="0"/>
          <w:i w:val="0"/>
          <w:color w:val="000000"/>
          <w:sz w:val="16"/>
        </w:rPr>
        <w:t xml:space="preserve"> is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the Kraus dimension and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D</w:t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 is the bond dimen-</w:t>
      </w:r>
      <w:r>
        <w:rPr>
          <w:rFonts w:ascii="BeraSans" w:hAnsi="BeraSans" w:eastAsia="BeraSans"/>
          <w:b w:val="0"/>
          <w:i w:val="0"/>
          <w:color w:val="000000"/>
          <w:sz w:val="16"/>
        </w:rPr>
        <w:t>sion.</w:t>
      </w:r>
    </w:p>
    <w:p>
      <w:pPr>
        <w:sectPr>
          <w:type w:val="continuous"/>
          <w:pgSz w:w="12240" w:h="15840"/>
          <w:pgMar w:top="820" w:right="1440" w:bottom="1138" w:left="1440" w:header="720" w:footer="720" w:gutter="0"/>
          <w:cols w:space="720" w:num="2" w:equalWidth="0"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466"/>
        <w:ind w:left="144" w:right="864" w:firstLine="0"/>
        <w:jc w:val="center"/>
      </w:pP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>uct state form. The Kraus dimension is up-</w:t>
      </w:r>
      <w:r>
        <w:rPr>
          <w:rFonts w:ascii="BeraSans" w:hAnsi="BeraSans" w:eastAsia="BeraSans"/>
          <w:b w:val="0"/>
          <w:i w:val="0"/>
          <w:color w:val="000000"/>
          <w:sz w:val="16"/>
        </w:rPr>
        <w:t>dated (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K</w:t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 to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 xml:space="preserve"> K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′</w:t>
      </w:r>
      <w:r>
        <w:rPr>
          <w:rFonts w:ascii="BeraSans" w:hAnsi="BeraSans" w:eastAsia="BeraSans"/>
          <w:b w:val="0"/>
          <w:i w:val="0"/>
          <w:color w:val="000000"/>
          <w:sz w:val="16"/>
        </w:rPr>
        <w:t>after the SVD decomposition.</w:t>
      </w:r>
    </w:p>
    <w:p>
      <w:pPr>
        <w:sectPr>
          <w:type w:val="nextColumn"/>
          <w:pgSz w:w="12240" w:h="15840"/>
          <w:pgMar w:top="820" w:right="1440" w:bottom="1138" w:left="1440" w:header="720" w:footer="720" w:gutter="0"/>
          <w:cols w:space="720" w:num="2" w:equalWidth="0"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0" w:right="0" w:firstLine="0"/>
        <w:jc w:val="center"/>
      </w:pPr>
      <w:r>
        <w:rPr>
          <w:rFonts w:ascii="BeraSans" w:hAnsi="BeraSans" w:eastAsia="BeraSans"/>
          <w:b w:val="0"/>
          <w:i w:val="0"/>
          <w:color w:val="000000"/>
          <w:sz w:val="16"/>
        </w:rPr>
        <w:t>Fig. 5. Locally-purified matrix product state tensor network representation.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55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3.3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Density Matrix Simulation</w:t>
      </w:r>
    </w:p>
    <w:p>
      <w:pPr>
        <w:autoSpaceDN w:val="0"/>
        <w:autoSpaceDE w:val="0"/>
        <w:widowControl/>
        <w:spacing w:line="250" w:lineRule="exact" w:before="62" w:after="0"/>
        <w:ind w:left="166" w:right="170" w:firstLine="8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TNQVM, we can also construct the density matrix by taking the outer product of a state vector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with its dual. In this form the density matrix tensor has a rank of 2N (number of dimensions), with N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being the number of qubits. Using a density matrix representation of the quantum state, we can thus 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incorporate (non-unitary) noise processes into the simulation workflow. A convenient representation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for noise processes (channels) is the Kraus expansion,</w:t>
      </w:r>
    </w:p>
    <w:p>
      <w:pPr>
        <w:autoSpaceDN w:val="0"/>
        <w:tabs>
          <w:tab w:pos="4432" w:val="left"/>
          <w:tab w:pos="4722" w:val="left"/>
          <w:tab w:pos="5192" w:val="left"/>
          <w:tab w:pos="8932" w:val="left"/>
        </w:tabs>
        <w:autoSpaceDE w:val="0"/>
        <w:widowControl/>
        <w:spacing w:line="374" w:lineRule="exact" w:before="0" w:after="0"/>
        <w:ind w:left="4020" w:right="0" w:firstLine="0"/>
        <w:jc w:val="left"/>
      </w:pPr>
      <w:r>
        <w:rPr>
          <w:rFonts w:ascii="LinLibertineI" w:hAnsi="LinLibertineI" w:eastAsia="LinLibertineI"/>
          <w:b w:val="0"/>
          <w:i w:val="0"/>
          <w:color w:val="000000"/>
          <w:sz w:val="20"/>
        </w:rPr>
        <w:t>ρ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�→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ρA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†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rtxmi" w:hAnsi="rtxmi" w:eastAsia="rtxmi"/>
          <w:b w:val="0"/>
          <w:i w:val="0"/>
          <w:color w:val="000000"/>
          <w:sz w:val="20"/>
        </w:rPr>
        <w:t xml:space="preserve">, </w:t>
      </w:r>
      <w:r>
        <w:tab/>
      </w:r>
      <w:r>
        <w:rPr>
          <w:rFonts w:ascii="BeraSerif" w:hAnsi="BeraSerif" w:eastAsia="BeraSerif"/>
          <w:b w:val="0"/>
          <w:i w:val="0"/>
          <w:color w:val="000000"/>
          <w:sz w:val="18"/>
        </w:rPr>
        <w:t>(3)</w:t>
      </w:r>
    </w:p>
    <w:p>
      <w:pPr>
        <w:autoSpaceDN w:val="0"/>
        <w:autoSpaceDE w:val="0"/>
        <w:widowControl/>
        <w:spacing w:line="144" w:lineRule="exact" w:before="0" w:after="0"/>
        <w:ind w:left="0" w:right="4768" w:firstLine="0"/>
        <w:jc w:val="right"/>
      </w:pP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</w:p>
    <w:p>
      <w:pPr>
        <w:autoSpaceDN w:val="0"/>
        <w:autoSpaceDE w:val="0"/>
        <w:widowControl/>
        <w:spacing w:line="106" w:lineRule="exact" w:before="462" w:after="0"/>
        <w:ind w:left="174" w:right="144" w:hanging="8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where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ρ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|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rFonts w:ascii="txsy" w:hAnsi="txsy" w:eastAsia="txsy"/>
          <w:b w:val="0"/>
          <w:i w:val="0"/>
          <w:color w:val="000000"/>
          <w:sz w:val="20"/>
        </w:rPr>
        <w:t>⟩⟨</w:t>
      </w:r>
      <w:r>
        <w:rPr>
          <w:rFonts w:ascii="LinLibertine" w:hAnsi="LinLibertine" w:eastAsia="LinLibertine"/>
          <w:b w:val="0"/>
          <w:i w:val="0"/>
          <w:color w:val="000000"/>
          <w:sz w:val="20"/>
        </w:rPr>
        <w:t>Ψ</w:t>
      </w:r>
      <w:r>
        <w:rPr>
          <w:rFonts w:ascii="txsy" w:hAnsi="txsy" w:eastAsia="txsy"/>
          <w:b w:val="0"/>
          <w:i w:val="0"/>
          <w:color w:val="000000"/>
          <w:sz w:val="20"/>
        </w:rPr>
        <w:t>|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is the density matrix and</w:t>
      </w:r>
      <w:r>
        <w:rPr>
          <w:rFonts w:ascii="txsy" w:hAnsi="txsy" w:eastAsia="txsy"/>
          <w:b w:val="0"/>
          <w:i w:val="0"/>
          <w:color w:val="000000"/>
          <w:sz w:val="20"/>
        </w:rPr>
        <w:t xml:space="preserve"> {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txsy" w:hAnsi="txsy" w:eastAsia="txsy"/>
          <w:b w:val="0"/>
          <w:i w:val="0"/>
          <w:color w:val="000000"/>
          <w:sz w:val="20"/>
        </w:rPr>
        <w:t>}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is the set of Kraus operators, satisfying</w:t>
      </w:r>
      <w:r>
        <w:rPr>
          <w:rFonts w:ascii="txex" w:hAnsi="txex" w:eastAsia="txex"/>
          <w:b w:val="0"/>
          <w:i w:val="0"/>
          <w:color w:val="000000"/>
          <w:sz w:val="20"/>
        </w:rPr>
        <w:t>�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txsy" w:hAnsi="txsy" w:eastAsia="txsy"/>
          <w:b w:val="0"/>
          <w:i w:val="0"/>
          <w:color w:val="000000"/>
          <w:sz w:val="15"/>
        </w:rPr>
        <w:t>†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A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k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describing the channel of interest.</w:t>
      </w:r>
    </w:p>
    <w:p>
      <w:pPr>
        <w:autoSpaceDN w:val="0"/>
        <w:autoSpaceDE w:val="0"/>
        <w:widowControl/>
        <w:spacing w:line="250" w:lineRule="exact" w:before="0" w:after="0"/>
        <w:ind w:left="174" w:right="174" w:firstLine="20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To simulate noisy quantum circuits via our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exatn-dm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backend, we append gate tensors to both </w:t>
      </w:r>
      <w:r>
        <w:rPr>
          <w:w w:val="98.7248526679145"/>
          <w:rFonts w:ascii="BeraSerif" w:hAnsi="BeraSerif" w:eastAsia="BeraSerif"/>
          <w:b w:val="0"/>
          <w:i w:val="0"/>
          <w:color w:val="000000"/>
          <w:sz w:val="18"/>
        </w:rPr>
        <w:t xml:space="preserve">sides of the tensor network representing the density matrix. Specifically, for each quantum gate,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gate tensor and its conjugate are applied to the ket (right) and bra (left) sides, respectively. Noise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operators, on the other hand, are tensors that need to be connected to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both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ket and bra legs as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shown in Fig. 4a. We want to note that for illustration purposes, noise tensors are represented as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U-shaped tensors in Fig. 4a. We construct them as rank-4 and rank-8 tensors for single- and two-qubit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noise processes, respectively, and then append them to our tensor network. In our examples, we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have defined depolarizing and dephasing Kraus tensors. To formally construct these tensors, we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contract (trace over) an environmental qubit in a dilated unitary formulation [28].</w:t>
      </w:r>
    </w:p>
    <w:p>
      <w:pPr>
        <w:autoSpaceDN w:val="0"/>
        <w:autoSpaceDE w:val="0"/>
        <w:widowControl/>
        <w:spacing w:line="150" w:lineRule="exact" w:before="384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type w:val="continuous"/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0.0" w:type="dxa"/>
      </w:tblPr>
      <w:tblGrid>
        <w:gridCol w:w="3120"/>
        <w:gridCol w:w="3120"/>
        <w:gridCol w:w="3120"/>
      </w:tblGrid>
      <w:tr>
        <w:trPr>
          <w:trHeight w:hRule="exact" w:val="124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92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4" w:lineRule="exact" w:before="0" w:after="376"/>
        <w:ind w:left="0" w:right="0"/>
      </w:pP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8" w:lineRule="exact" w:before="0" w:after="0"/>
        <w:ind w:left="166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Following this construction procedure, we have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 full tensor network capturing the noisy evolu-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tion according to the input quantum circuit and a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given noise model. At this point, we can evaluate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this tensor network to retrieve the density matrix,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whose diagonal elements equal the probability of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measuring a particular computational basis state.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For larger systems, however, full density matrix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contraction is not practical due to memory con-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straints. We can compute specific quantities such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as bit-string probabilities or expectation values by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adding projection or observable tensors and then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contracting the bra and ket qubit legs to form a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trace value as depicted in Fig. 4b. The final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network is then submitted to ExaTN, which will 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analyze the structure of the network to determine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tensor contraction sequence and perform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evaluation similar to the simulation algorithm de-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scribed in Sec. 3.1.</w:t>
      </w:r>
    </w:p>
    <w:p>
      <w:pPr>
        <w:autoSpaceDN w:val="0"/>
        <w:autoSpaceDE w:val="0"/>
        <w:widowControl/>
        <w:spacing w:line="252" w:lineRule="exact" w:before="0" w:after="0"/>
        <w:ind w:left="166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Using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exatn-dm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backend of TNQVM, users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can incorporate quantum noise models into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simulation workflow, such as those that mimic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IBM-Q hardware backends. XACC provides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utilities to convert IBM’s JSON-based backend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configurations into concrete relaxation and depo-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larization Kraus tensors which are subsequently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incorporated into the density matrix tensor net-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work as illustrated in Fig. 4.</w:t>
      </w:r>
    </w:p>
    <w:p>
      <w:pPr>
        <w:autoSpaceDN w:val="0"/>
        <w:tabs>
          <w:tab w:pos="682" w:val="left"/>
        </w:tabs>
        <w:autoSpaceDE w:val="0"/>
        <w:widowControl/>
        <w:spacing w:line="272" w:lineRule="exact" w:before="472" w:after="0"/>
        <w:ind w:left="174" w:right="1008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3.4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Locally-Purified </w:t>
      </w:r>
      <w:r>
        <w:br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Matrix Product Operator Simulation</w:t>
      </w:r>
    </w:p>
    <w:p>
      <w:pPr>
        <w:autoSpaceDN w:val="0"/>
        <w:autoSpaceDE w:val="0"/>
        <w:widowControl/>
        <w:spacing w:line="250" w:lineRule="exact" w:before="64" w:after="0"/>
        <w:ind w:left="166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Just as one can factorize a full state vector into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 MPS tensor network, one can also factorize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full density matrix tensor (as described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Sec. 3.3) into a similar structure. One method, 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 xml:space="preserve">known as the locally-purified matrix product state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(LP-MPS) ansatz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40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], is depicted in Fig. 5a. It is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implemented in TNQVM via another simulation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algorithm, named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exatn-pmps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 that performs ap-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proximate density matrix-based simulation follow-</w:t>
      </w:r>
    </w:p>
    <w:p>
      <w:pPr>
        <w:sectPr>
          <w:type w:val="continuous"/>
          <w:pgSz w:w="12240" w:h="15840"/>
          <w:pgMar w:top="814" w:right="1440" w:bottom="1138" w:left="1440" w:header="720" w:footer="720" w:gutter="0"/>
          <w:cols w:space="720" w:num="2" w:equalWidth="0"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.000000000000455" w:type="dxa"/>
      </w:tblPr>
      <w:tblGrid>
        <w:gridCol w:w="9360"/>
      </w:tblGrid>
      <w:tr>
        <w:trPr>
          <w:trHeight w:hRule="exact" w:val="9166"/>
        </w:trPr>
        <w:tc>
          <w:tcPr>
            <w:tcW w:type="dxa" w:w="445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98" w:after="0"/>
              <w:ind w:left="60" w:right="0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#include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 "xacc.hpp"</w:t>
            </w:r>
          </w:p>
          <w:p>
            <w:pPr>
              <w:autoSpaceDN w:val="0"/>
              <w:autoSpaceDE w:val="0"/>
              <w:widowControl/>
              <w:spacing w:line="234" w:lineRule="exact" w:before="304" w:after="0"/>
              <w:ind w:left="276" w:right="720" w:hanging="216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int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main(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int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argc,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 xml:space="preserve"> char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**argv) { 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Initialize the XACC Framework 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xacc::Initialize(argc, argv);</w:t>
            </w:r>
          </w:p>
          <w:p>
            <w:pPr>
              <w:autoSpaceDN w:val="0"/>
              <w:tabs>
                <w:tab w:pos="490" w:val="left"/>
                <w:tab w:pos="2212" w:val="left"/>
              </w:tabs>
              <w:autoSpaceDE w:val="0"/>
              <w:widowControl/>
              <w:spacing w:line="250" w:lineRule="exact" w:before="252" w:after="0"/>
              <w:ind w:left="276" w:right="144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Use ExaTN based TNQVM Accelerator 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qpu =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xacc::getAccelerator(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"tnqvm:exatn"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, </w:t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{{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"shots"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 1024}});</w:t>
            </w:r>
          </w:p>
          <w:p>
            <w:pPr>
              <w:autoSpaceDN w:val="0"/>
              <w:tabs>
                <w:tab w:pos="490" w:val="left"/>
                <w:tab w:pos="920" w:val="left"/>
              </w:tabs>
              <w:autoSpaceDE w:val="0"/>
              <w:widowControl/>
              <w:spacing w:line="252" w:lineRule="exact" w:before="252" w:after="0"/>
              <w:ind w:left="276" w:right="144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Create a Program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xasmCompiler =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xacc::getCompiler(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"xasm"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std::shared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ptr&lt;IR&gt; ir =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xasmCompiler-&gt;compile(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__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qpu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__ 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void Bell(qbit q) {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H(q[0]);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CX(q[0], q[1]);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Measure(q[0]);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Measure(q[1]);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})"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, qpu);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std::shared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ptr&lt;CompositeInstruction&gt; 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program = ir-&gt;getComposite(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"Bell"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); 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Allocate a register of 2 qubits 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qubitReg = xacc::qalloc(2);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Execute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qpu-&gt;execute(qubitReg, program);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// Print the result in the buffer.</w:t>
            </w:r>
          </w:p>
          <w:p>
            <w:pPr>
              <w:autoSpaceDN w:val="0"/>
              <w:autoSpaceDE w:val="0"/>
              <w:widowControl/>
              <w:spacing w:line="180" w:lineRule="exact" w:before="70" w:after="0"/>
              <w:ind w:left="276" w:right="0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qubitReg-&gt;print();</w:t>
            </w:r>
          </w:p>
          <w:p>
            <w:pPr>
              <w:autoSpaceDN w:val="0"/>
              <w:autoSpaceDE w:val="0"/>
              <w:widowControl/>
              <w:spacing w:line="252" w:lineRule="exact" w:before="250" w:after="0"/>
              <w:ind w:left="276" w:right="864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Finalize the XACC Framework 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xacc::Finalize();</w:t>
            </w:r>
          </w:p>
          <w:p>
            <w:pPr>
              <w:autoSpaceDN w:val="0"/>
              <w:tabs>
                <w:tab w:pos="276" w:val="left"/>
              </w:tabs>
              <w:autoSpaceDE w:val="0"/>
              <w:widowControl/>
              <w:spacing w:line="250" w:lineRule="exact" w:before="252" w:after="0"/>
              <w:ind w:left="60" w:right="3168" w:firstLine="0"/>
              <w:jc w:val="left"/>
            </w:pP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return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0;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60" w:lineRule="exact" w:before="362" w:after="0"/>
        <w:ind w:left="0" w:right="0" w:firstLine="0"/>
        <w:jc w:val="center"/>
      </w:pPr>
      <w:r>
        <w:rPr>
          <w:rFonts w:ascii="BeraSans" w:hAnsi="BeraSans" w:eastAsia="BeraSans"/>
          <w:b w:val="0"/>
          <w:i w:val="0"/>
          <w:color w:val="000000"/>
          <w:sz w:val="16"/>
        </w:rPr>
        <w:t>Fig. 6. Code snippet demonstrating TNQVM usage with</w:t>
      </w:r>
    </w:p>
    <w:p>
      <w:pPr>
        <w:autoSpaceDN w:val="0"/>
        <w:autoSpaceDE w:val="0"/>
        <w:widowControl/>
        <w:spacing w:line="162" w:lineRule="exact" w:before="68" w:after="504"/>
        <w:ind w:left="110" w:right="0" w:firstLine="0"/>
        <w:jc w:val="left"/>
      </w:pPr>
      <w:r>
        <w:rPr>
          <w:rFonts w:ascii="BeraSans" w:hAnsi="BeraSans" w:eastAsia="BeraSans"/>
          <w:b w:val="0"/>
          <w:i w:val="0"/>
          <w:color w:val="000000"/>
          <w:sz w:val="16"/>
        </w:rPr>
        <w:t>XACC.</w:t>
      </w:r>
    </w:p>
    <w:p>
      <w:pPr>
        <w:sectPr>
          <w:type w:val="nextColumn"/>
          <w:pgSz w:w="12240" w:h="15840"/>
          <w:pgMar w:top="814" w:right="1440" w:bottom="1138" w:left="1440" w:header="720" w:footer="720" w:gutter="0"/>
          <w:cols w:space="720" w:num="2" w:equalWidth="0"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74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ing this decomposition procedure (this particular algorithm does not support distributed execution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yet).</w:t>
      </w:r>
    </w:p>
    <w:p>
      <w:pPr>
        <w:autoSpaceDN w:val="0"/>
        <w:autoSpaceDE w:val="0"/>
        <w:widowControl/>
        <w:spacing w:line="150" w:lineRule="exact" w:before="462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type w:val="continuous"/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14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7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84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252" w:lineRule="exact" w:before="238" w:after="0"/>
        <w:ind w:left="166" w:right="0" w:firstLine="206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application of quantum gates is similar to the MPS algorithm, as described in Sec. 3.2.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Two-qubit gates are contracted with the LP-MPS tensors, denoted by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T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i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, to form a merged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which is then decomposed into the canonical tensor product. This procedure only modifies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virtual bond dimension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D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(see Fig. 5a between the neighboring LP-MPS tensors) which captures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systems entanglement properties. To simulate a non-unitary channel Kraus tensors, such as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ones shown in Fig. 4a, are contracted with the qubit legs of the MPS tensor and its conjugate, see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Fig. 5b. After this contraction, we can apply SVD along the Kraus dimension to recover the canonical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(locally-purified) form of the LP-MPS factorization. The Kraus dimension (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K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) between the MPS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and its conjugate, encoding statistical mixture in the density operator, is updated after each noise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operator iteration.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306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3.5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Generic Tensor Network Reconstruction Based Simulation</w:t>
      </w:r>
    </w:p>
    <w:p>
      <w:pPr>
        <w:autoSpaceDN w:val="0"/>
        <w:autoSpaceDE w:val="0"/>
        <w:widowControl/>
        <w:spacing w:line="252" w:lineRule="exact" w:before="62" w:after="0"/>
        <w:ind w:left="172" w:right="144" w:hanging="6"/>
        <w:jc w:val="left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The most recent quantum circuit simulation algorithm implemented in TNQVM is based on the ability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to reconstruct an arbitrary tensor network (the whole quantum circuit or any of its parts) as another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 network with a different, presumably simpler topology. This advanced capability is provided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by the ExaTN library 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exatn::TensorNetworkReconstructor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used in the ExaTN-Gen algorithm in 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>TNQVM). In one of the most straightforward settings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26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], that is currently implemented in TNQVM,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 quantum circuit can be split into chunks of constant depth. Then, by keeping the quantum circuit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wave-function (or density matrix, in general) in a factorized form (by some tensor network, e.g.,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matrix-product state or tensor tree state), each step of this simulation algorithm consists of (A)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applying the next quantum circuit chunk to the input tensor network by simply joining both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networks, (B) projecting the obtained product on another tensor network of the same or different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topology and configuration. The projection step consists of closing the product tensor network with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another tensor network and optimizing the tensors in the latter tensor network to maximize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overlap (reconstruction fidelity). At the end of the reconstruction step, the new tensor network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approximates the action of a given chunk (slice) of the quantum circuit on the previous wave-function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(previous tensor network state). The total reconstruction fidelity for the entire quantum circuit will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be a product of reconstruction fidelities for all reconstruction steps, thus providing a user with a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quantitative measure of simulation quality (approximation error). In the current implementation, this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algorithm in TNQVM has two built-in tensor network topologies, matrix product state and tensor tree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state. In general, a user can extend this algorithm to other topologies by providing specialized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network builders. Furthermore, one can implement more sophisticated simulation algorithms using 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 xml:space="preserve">this general tensor network reconstruction procedure, in which the quantum circuit is partitioned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 more clever way (the work in this direction is currently in progress).</w:t>
      </w:r>
    </w:p>
    <w:p>
      <w:pPr>
        <w:autoSpaceDN w:val="0"/>
        <w:tabs>
          <w:tab w:pos="496" w:val="left"/>
        </w:tabs>
        <w:autoSpaceDE w:val="0"/>
        <w:widowControl/>
        <w:spacing w:line="196" w:lineRule="exact" w:before="306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4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DEMONSTRATIONS</w:t>
      </w:r>
    </w:p>
    <w:p>
      <w:pPr>
        <w:autoSpaceDN w:val="0"/>
        <w:autoSpaceDE w:val="0"/>
        <w:widowControl/>
        <w:spacing w:line="252" w:lineRule="exact" w:before="62" w:after="0"/>
        <w:ind w:left="174" w:right="144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this section, we seek to demonstrate the utility, flexibility and performance of some of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ExaTN-based backends implemented in TNQVM, while also providing relevant code snippets.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308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4.1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Quantum circuit simulation</w:t>
      </w:r>
    </w:p>
    <w:p>
      <w:pPr>
        <w:autoSpaceDN w:val="0"/>
        <w:autoSpaceDE w:val="0"/>
        <w:widowControl/>
        <w:spacing w:line="252" w:lineRule="exact" w:before="64" w:after="0"/>
        <w:ind w:left="174" w:right="174" w:hanging="6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As a first example, Fig. 6 shows a typical usage of TNQVM as a virtual Accelerator in the XACC 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 xml:space="preserve">framework. In particular, after TNQVM is compiled and installed to the XACC plugin directory, users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can use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xacc::getAccelerator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API to retrieve an instance of the TNQVM accelerator using the</w:t>
      </w:r>
    </w:p>
    <w:p>
      <w:pPr>
        <w:autoSpaceDN w:val="0"/>
        <w:autoSpaceDE w:val="0"/>
        <w:widowControl/>
        <w:spacing w:line="150" w:lineRule="exact" w:before="342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92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252" w:lineRule="exact" w:before="252" w:after="238"/>
        <w:ind w:left="166" w:right="152" w:firstLine="0"/>
        <w:jc w:val="both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name key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tnqvm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. In addition, one of the backends described in Section 3 can be specified after the ’:’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symbol. For example, the code snippet in Fig. 6 calls for the full tensor network contraction simulator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exatn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9360"/>
      </w:tblGrid>
      <w:tr>
        <w:trPr>
          <w:trHeight w:hRule="exact" w:val="5902"/>
        </w:trPr>
        <w:tc>
          <w:tcPr>
            <w:tcW w:type="dxa" w:w="5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0" w:val="left"/>
                <w:tab w:pos="1350" w:val="left"/>
              </w:tabs>
              <w:autoSpaceDE w:val="0"/>
              <w:widowControl/>
              <w:spacing w:line="252" w:lineRule="exact" w:before="26" w:after="0"/>
              <w:ind w:left="60" w:right="0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Query the noise model from an IBM device 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noiseModel =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xacc::getService&lt;xacc::NoiseModel&gt;(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"IBM"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); 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noiseModel-&gt;initialize(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{{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"backend"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 "ibmqx2"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}});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qpu = xacc::getAccelerator(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"tnqvm:exatn-dm"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,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{{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"noise-model"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 noiseModel}});</w:t>
            </w:r>
          </w:p>
          <w:p>
            <w:pPr>
              <w:autoSpaceDN w:val="0"/>
              <w:autoSpaceDE w:val="0"/>
              <w:widowControl/>
              <w:spacing w:line="180" w:lineRule="exact" w:before="322" w:after="0"/>
              <w:ind w:left="60" w:right="0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qubitReg = xacc::qalloc(1);</w:t>
            </w:r>
          </w:p>
          <w:p>
            <w:pPr>
              <w:autoSpaceDN w:val="0"/>
              <w:tabs>
                <w:tab w:pos="274" w:val="left"/>
                <w:tab w:pos="490" w:val="left"/>
                <w:tab w:pos="706" w:val="left"/>
              </w:tabs>
              <w:autoSpaceDE w:val="0"/>
              <w:widowControl/>
              <w:spacing w:line="250" w:lineRule="exact" w:before="252" w:after="0"/>
              <w:ind w:left="60" w:right="0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Create a test program: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Apply back-to-back Hadamard gates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to assess gate noise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xasmCompiler = xacc::getCompiler(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"xasm"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); 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ir = xasmCompiler-&gt;compile(R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"(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__qpu__ void conjugateTest(qbit q) {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for (int i = 0; i &lt; NB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CYCLES; i++) {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H(q[0]);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H(q[0]);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}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Measure(q[0]);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})"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 qpu);</w:t>
            </w:r>
          </w:p>
        </w:tc>
      </w:tr>
    </w:tbl>
    <w:p>
      <w:pPr>
        <w:autoSpaceDN w:val="0"/>
        <w:autoSpaceDE w:val="0"/>
        <w:widowControl/>
        <w:spacing w:line="230" w:lineRule="exact" w:before="292" w:after="0"/>
        <w:ind w:left="174" w:right="0" w:firstLine="0"/>
        <w:jc w:val="left"/>
      </w:pP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Fig. 7. Noisy quantum circuit simulation with TNQVM. The </w:t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>device noise model (IBMQ Yorktown,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 xml:space="preserve"> ibmqx2</w:t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) is generated </w:t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from online calibration data and provided to TNQVM as a 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>noise-model</w:t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 configuration. In this code snippet, we show the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experiment on the first qubit (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>q[0]</w:t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) of the device. Other qubits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can also be experimented with similarly by specifying their in-</w:t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dices. Here, we only show a snippet of the code, not including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header files and other initialization/finalization steps.</w:t>
      </w:r>
    </w:p>
    <w:p>
      <w:pPr>
        <w:sectPr>
          <w:type w:val="continuous"/>
          <w:pgSz w:w="12240" w:h="15840"/>
          <w:pgMar w:top="814" w:right="1440" w:bottom="1138" w:left="1440" w:header="720" w:footer="720" w:gutter="0"/>
          <w:cols w:space="720" w:num="2" w:equalWidth="0"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6" w:lineRule="exact" w:before="0" w:after="0"/>
        <w:ind w:left="60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Any specialized configurations are given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terms of a dictionary (key-value pairs)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when requesting the accelerator. For ex-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ample, we can specify the number of sim-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ulation runs (shots), as shown in Fig. 6.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There are a lot of configurations specific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to each simulator backend documented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on the XACC documentation website. Sim-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ulation results, e.g., shot count distribu-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tion, are persisted to the qubit register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xacc::AcceleratorBuffer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 for later re-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trieval or post-processing.</w:t>
      </w:r>
    </w:p>
    <w:p>
      <w:pPr>
        <w:autoSpaceDN w:val="0"/>
        <w:autoSpaceDE w:val="0"/>
        <w:widowControl/>
        <w:spacing w:line="252" w:lineRule="exact" w:before="0" w:after="0"/>
        <w:ind w:left="68" w:right="144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above example demonstrates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seamless integration of TNQVM and all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of its backends into the XACC stack. All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user codes can use TNQVM as a drop-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 replacement for the backend Acceler-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>ator. Furthermore, when the simulation de-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mands an HPC platform, users will get in-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stant scalability, i.e., no code changes re-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quired, thanks to the TNQVM-ExaTN ab-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straction layer.</w:t>
      </w:r>
    </w:p>
    <w:p>
      <w:pPr>
        <w:autoSpaceDN w:val="0"/>
        <w:tabs>
          <w:tab w:pos="576" w:val="left"/>
        </w:tabs>
        <w:autoSpaceDE w:val="0"/>
        <w:widowControl/>
        <w:spacing w:line="196" w:lineRule="exact" w:before="392" w:after="0"/>
        <w:ind w:left="68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4.2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Noisy simulation</w:t>
      </w:r>
    </w:p>
    <w:p>
      <w:pPr>
        <w:autoSpaceDN w:val="0"/>
        <w:autoSpaceDE w:val="0"/>
        <w:widowControl/>
        <w:spacing w:line="252" w:lineRule="exact" w:before="62" w:after="64"/>
        <w:ind w:left="0" w:right="144" w:firstLine="0"/>
        <w:jc w:val="center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One of the advantages of being part of the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XACC framework is that TNQVM can query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device characteristics of hardware back-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ends, e.g., IBMQ devices, from XACC to per-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form hardware emulation. Since TNQVM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fully supports noisy quantum circuit simula-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tions, local noise channels can be incorpo-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 xml:space="preserve">rated into the simulation process. In Fig. 7,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we show a simple example how one can</w:t>
      </w:r>
    </w:p>
    <w:p>
      <w:pPr>
        <w:sectPr>
          <w:type w:val="nextColumn"/>
          <w:pgSz w:w="12240" w:h="15840"/>
          <w:pgMar w:top="814" w:right="1440" w:bottom="1138" w:left="1440" w:header="720" w:footer="720" w:gutter="0"/>
          <w:cols w:space="720" w:num="2" w:equalWidth="0"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166" w:right="174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construct a noise model from the IBMQ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ibmqx2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(Yorktown) device configuration via the XACC 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NoiseModel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utility, followed by the initialization of the density matrix based backend of TNQVM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exatn-dm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, see Sec. 3.3).</w:t>
      </w:r>
    </w:p>
    <w:p>
      <w:pPr>
        <w:autoSpaceDN w:val="0"/>
        <w:autoSpaceDE w:val="0"/>
        <w:widowControl/>
        <w:spacing w:line="288" w:lineRule="exact" w:before="0" w:after="0"/>
        <w:ind w:left="166" w:right="170" w:firstLine="200"/>
        <w:jc w:val="both"/>
      </w:pPr>
      <w:r>
        <w:rPr>
          <w:w w:val="98.7248526679145"/>
          <w:rFonts w:ascii="BeraSerif" w:hAnsi="BeraSerif" w:eastAsia="BeraSerif"/>
          <w:b w:val="0"/>
          <w:i w:val="0"/>
          <w:color w:val="000000"/>
          <w:sz w:val="18"/>
        </w:rPr>
        <w:t xml:space="preserve">In this demonstration, we simulate a simplified randomized benchmarking procedure whereby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gate set only contains a single gate (Hadamard). By repeating this gate back-to-back over multiple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cycles, we can quantify the gate noise in terms of deviation from an ideal identity operation. In other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words, if the Hadamard gate is ideal, we would see the qubit state stays at 0 (</w:t>
      </w:r>
      <w:r>
        <w:rPr>
          <w:rFonts w:ascii="txsy" w:hAnsi="txsy" w:eastAsia="txsy"/>
          <w:b w:val="0"/>
          <w:i w:val="0"/>
          <w:color w:val="000000"/>
          <w:sz w:val="20"/>
        </w:rPr>
        <w:t>⟨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>Z</w:t>
      </w:r>
      <w:r>
        <w:rPr>
          <w:rFonts w:ascii="txsy" w:hAnsi="txsy" w:eastAsia="txsy"/>
          <w:b w:val="0"/>
          <w:i w:val="0"/>
          <w:color w:val="000000"/>
          <w:sz w:val="20"/>
        </w:rPr>
        <w:t>⟩</w:t>
      </w:r>
      <w:r>
        <w:rPr>
          <w:rFonts w:ascii="rtxr" w:hAnsi="rtxr" w:eastAsia="rtxr"/>
          <w:b w:val="0"/>
          <w:i w:val="0"/>
          <w:color w:val="000000"/>
          <w:sz w:val="20"/>
        </w:rPr>
        <w:t xml:space="preserve"> =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1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 regardless of</w:t>
      </w:r>
    </w:p>
    <w:p>
      <w:pPr>
        <w:autoSpaceDN w:val="0"/>
        <w:autoSpaceDE w:val="0"/>
        <w:widowControl/>
        <w:spacing w:line="150" w:lineRule="exact" w:before="240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type w:val="continuous"/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1409700</wp:posOffset>
            </wp:positionH>
            <wp:positionV relativeFrom="page">
              <wp:posOffset>1968500</wp:posOffset>
            </wp:positionV>
            <wp:extent cx="4953000" cy="52959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2959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16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7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84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186" w:lineRule="exact" w:before="304" w:after="0"/>
        <w:ind w:left="0" w:right="0" w:firstLine="0"/>
        <w:jc w:val="center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the number of gates. However, due to device noise, we expect a decay of the ground state population</w:t>
      </w:r>
    </w:p>
    <w:p>
      <w:pPr>
        <w:autoSpaceDN w:val="0"/>
        <w:autoSpaceDE w:val="0"/>
        <w:widowControl/>
        <w:spacing w:line="186" w:lineRule="exact" w:before="64" w:after="66"/>
        <w:ind w:left="1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as the number of cycles increases, and we see this in the resultant data shown in Fig. 8.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174" w:right="144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this experiment, we test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Hadamard gate sequence on both</w:t>
      </w:r>
    </w:p>
    <w:p>
      <w:pPr>
        <w:sectPr>
          <w:type w:val="continuous"/>
          <w:pgSz w:w="12240" w:h="15840"/>
          <w:pgMar w:top="820" w:right="1440" w:bottom="1138" w:left="1440" w:header="720" w:footer="720" w:gutter="0"/>
          <w:cols w:space="720" w:num="2" w:equalWidth="0"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212"/>
        <w:ind w:left="14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Benchmarking of noisy Hadamard gates with TNQVM</w:t>
      </w:r>
    </w:p>
    <w:p>
      <w:pPr>
        <w:sectPr>
          <w:type w:val="nextColumn"/>
          <w:pgSz w:w="12240" w:h="15840"/>
          <w:pgMar w:top="820" w:right="1440" w:bottom="1138" w:left="1440" w:header="720" w:footer="720" w:gutter="0"/>
          <w:cols w:space="720" w:num="2" w:equalWidth="0"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2340"/>
        <w:gridCol w:w="2340"/>
        <w:gridCol w:w="2340"/>
        <w:gridCol w:w="2340"/>
      </w:tblGrid>
      <w:tr>
        <w:trPr>
          <w:trHeight w:hRule="exact" w:val="208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0" w:after="0"/>
              <w:ind w:left="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qubit 0 and 1, which have a quite sig-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04" w:after="0"/>
              <w:ind w:left="32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</w:t>
            </w:r>
          </w:p>
        </w:tc>
        <w:tc>
          <w:tcPr>
            <w:tcW w:type="dxa" w:w="1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8" w:after="0"/>
              <w:ind w:left="0" w:right="204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Q0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108" w:after="0"/>
              <w:ind w:left="22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Q1</w:t>
            </w:r>
          </w:p>
        </w:tc>
      </w:tr>
      <w:tr>
        <w:trPr>
          <w:trHeight w:hRule="exact" w:val="262"/>
        </w:trPr>
        <w:tc>
          <w:tcPr>
            <w:tcW w:type="dxa" w:w="3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4" w:after="0"/>
              <w:ind w:left="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nificant single-qubit gate fidelity dif-</w:t>
            </w:r>
          </w:p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  <w:tc>
          <w:tcPr>
            <w:tcW w:type="dxa" w:w="234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6" w:lineRule="exact" w:before="32" w:after="0"/>
        <w:ind w:left="174" w:right="0" w:firstLine="0"/>
        <w:jc w:val="left"/>
      </w:pP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ference (8.906e-4 for Q0 and 1.935e-3</w:t>
      </w:r>
    </w:p>
    <w:p>
      <w:pPr>
        <w:autoSpaceDN w:val="0"/>
        <w:tabs>
          <w:tab w:pos="4074" w:val="left"/>
        </w:tabs>
        <w:autoSpaceDE w:val="0"/>
        <w:widowControl/>
        <w:spacing w:line="250" w:lineRule="exact" w:before="0" w:after="34"/>
        <w:ind w:left="174" w:right="504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for Q1). It is worth noting that these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8 </w:t>
      </w:r>
      <w:r>
        <w:br/>
      </w:r>
      <w:r>
        <w:rPr>
          <w:rFonts w:ascii="BeraSerif" w:hAnsi="BeraSerif" w:eastAsia="BeraSerif"/>
          <w:b w:val="0"/>
          <w:i w:val="0"/>
          <w:color w:val="000000"/>
          <w:sz w:val="18"/>
        </w:rPr>
        <w:t>calibration parameters are provided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4680"/>
        <w:gridCol w:w="4680"/>
      </w:tblGrid>
      <w:tr>
        <w:trPr>
          <w:trHeight w:hRule="exact" w:val="528"/>
        </w:trPr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w w:val="98.62427181667752"/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by IBM in real-time, which XACC uses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to construct the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NoiseModel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 object.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54" w:val="left"/>
              </w:tabs>
              <w:autoSpaceDE w:val="0"/>
              <w:widowControl/>
              <w:spacing w:line="174" w:lineRule="exact" w:before="176" w:after="0"/>
              <w:ind w:left="106" w:right="2448" w:firstLine="0"/>
              <w:jc w:val="left"/>
            </w:pPr>
            <w:r>
              <w:tab/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</w:t>
            </w:r>
            <w:r>
              <w:br/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⟨</w:t>
            </w:r>
            <w:r>
              <w:rPr>
                <w:rFonts w:ascii="LinLibertineI" w:hAnsi="LinLibertineI" w:eastAsia="LinLibertineI"/>
                <w:b w:val="0"/>
                <w:i w:val="0"/>
                <w:color w:val="000000"/>
                <w:sz w:val="20"/>
              </w:rPr>
              <w:t>Z</w:t>
            </w:r>
            <w:r>
              <w:rPr>
                <w:w w:val="96.96933110555013"/>
                <w:rFonts w:ascii="LinLibertineI7" w:hAnsi="LinLibertineI7" w:eastAsia="LinLibertineI7"/>
                <w:b w:val="0"/>
                <w:i w:val="0"/>
                <w:color w:val="000000"/>
                <w:sz w:val="15"/>
              </w:rPr>
              <w:t>i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⟩</w:t>
            </w:r>
          </w:p>
        </w:tc>
      </w:tr>
    </w:tbl>
    <w:p>
      <w:pPr>
        <w:autoSpaceDN w:val="0"/>
        <w:autoSpaceDE w:val="0"/>
        <w:widowControl/>
        <w:spacing w:line="186" w:lineRule="exact" w:before="6" w:after="0"/>
        <w:ind w:left="168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The simulation results from TNQVM,</w:t>
      </w:r>
    </w:p>
    <w:p>
      <w:pPr>
        <w:autoSpaceDN w:val="0"/>
        <w:tabs>
          <w:tab w:pos="4074" w:val="left"/>
        </w:tabs>
        <w:autoSpaceDE w:val="0"/>
        <w:widowControl/>
        <w:spacing w:line="202" w:lineRule="exact" w:before="0" w:after="0"/>
        <w:ind w:left="1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as shown in Fig. 8, are consistent </w:t>
      </w:r>
      <w:r>
        <w:tab/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0</w:t>
      </w:r>
      <w:r>
        <w:rPr>
          <w:rFonts w:ascii="rtxmi" w:hAnsi="rtxmi" w:eastAsia="rtxmi"/>
          <w:b w:val="0"/>
          <w:i w:val="0"/>
          <w:color w:val="000000"/>
          <w:sz w:val="20"/>
        </w:rPr>
        <w:t>.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>4</w:t>
      </w:r>
    </w:p>
    <w:p>
      <w:pPr>
        <w:autoSpaceDN w:val="0"/>
        <w:autoSpaceDE w:val="0"/>
        <w:widowControl/>
        <w:spacing w:line="186" w:lineRule="exact" w:before="66" w:after="32"/>
        <w:ind w:left="166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with the device characteristics. We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  <w:gridCol w:w="936"/>
      </w:tblGrid>
      <w:tr>
        <w:trPr>
          <w:trHeight w:hRule="exact" w:val="250"/>
        </w:trPr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can clearly see a much faster decay</w:t>
            </w:r>
          </w:p>
        </w:tc>
        <w:tc>
          <w:tcPr>
            <w:tcW w:type="dxa" w:w="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100" w:after="0"/>
              <w:ind w:left="0" w:right="4" w:firstLine="0"/>
              <w:jc w:val="righ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</w:t>
            </w:r>
          </w:p>
        </w:tc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14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</w:t>
            </w:r>
          </w:p>
        </w:tc>
        <w:tc>
          <w:tcPr>
            <w:tcW w:type="dxa" w:w="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100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200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300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400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500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0" w:right="0" w:firstLine="0"/>
              <w:jc w:val="center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600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710" w:after="0"/>
              <w:ind w:left="146" w:right="0" w:firstLine="0"/>
              <w:jc w:val="left"/>
            </w:pP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700</w:t>
            </w:r>
          </w:p>
        </w:tc>
      </w:tr>
      <w:tr>
        <w:trPr>
          <w:trHeight w:hRule="exact" w:val="240"/>
        </w:trPr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4" w:after="0"/>
              <w:ind w:left="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for Q1, whose gate error rate is re-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260"/>
        </w:trPr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4" w:after="0"/>
              <w:ind w:left="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ported to be more than double that of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  <w:tr>
        <w:trPr>
          <w:trHeight w:hRule="exact" w:val="202"/>
        </w:trPr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6" w:after="0"/>
              <w:ind w:left="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Q0.</w:t>
            </w:r>
          </w:p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  <w:tc>
          <w:tcPr>
            <w:tcW w:type="dxa" w:w="93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66"/>
        <w:ind w:left="0" w:right="0"/>
      </w:pPr>
    </w:p>
    <w:p>
      <w:pPr>
        <w:sectPr>
          <w:type w:val="continuous"/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174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Using the matrix trace bra-ket con-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nection, as depicted in Fig. 4b, we can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simulate noisy quantum circuits that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contain a large number of qubits as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low-rank tensor networks. Intermedi-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ate tensor slices appearing in these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large-scale tensor network contrac-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tions can be effectively distributed</w:t>
      </w:r>
    </w:p>
    <w:p>
      <w:pPr>
        <w:sectPr>
          <w:type w:val="continuous"/>
          <w:pgSz w:w="12240" w:h="15840"/>
          <w:pgMar w:top="820" w:right="1440" w:bottom="1138" w:left="1440" w:header="720" w:footer="720" w:gutter="0"/>
          <w:cols w:space="720" w:num="2" w:equalWidth="0"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1282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Sequence length 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NB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_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CYCLES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)</w:t>
      </w:r>
    </w:p>
    <w:p>
      <w:pPr>
        <w:autoSpaceDN w:val="0"/>
        <w:autoSpaceDE w:val="0"/>
        <w:widowControl/>
        <w:spacing w:line="162" w:lineRule="exact" w:before="332" w:after="0"/>
        <w:ind w:left="84" w:right="0" w:firstLine="0"/>
        <w:jc w:val="left"/>
      </w:pPr>
      <w:r>
        <w:rPr>
          <w:w w:val="101.1734127998352"/>
          <w:rFonts w:ascii="BeraSans" w:hAnsi="BeraSans" w:eastAsia="BeraSans"/>
          <w:b w:val="0"/>
          <w:i w:val="0"/>
          <w:color w:val="000000"/>
          <w:sz w:val="16"/>
        </w:rPr>
        <w:t>Fig. 8. Plots of expectation values of Pauli-Z operator vs the length</w:t>
      </w:r>
    </w:p>
    <w:p>
      <w:pPr>
        <w:autoSpaceDN w:val="0"/>
        <w:autoSpaceDE w:val="0"/>
        <w:widowControl/>
        <w:spacing w:line="200" w:lineRule="exact" w:before="34" w:after="0"/>
        <w:ind w:left="84" w:right="0" w:firstLine="0"/>
        <w:jc w:val="left"/>
      </w:pPr>
      <w:r>
        <w:rPr>
          <w:w w:val="101.27394199371338"/>
          <w:rFonts w:ascii="BeraSans" w:hAnsi="BeraSans" w:eastAsia="BeraSans"/>
          <w:b w:val="0"/>
          <w:i w:val="0"/>
          <w:color w:val="000000"/>
          <w:sz w:val="16"/>
        </w:rPr>
        <w:t>of the H-H sequence (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>NB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>_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>CYCLES</w:t>
      </w:r>
      <w:r>
        <w:rPr>
          <w:w w:val="101.27394199371338"/>
          <w:rFonts w:ascii="BeraSans" w:hAnsi="BeraSans" w:eastAsia="BeraSans"/>
          <w:b w:val="0"/>
          <w:i w:val="0"/>
          <w:color w:val="000000"/>
          <w:sz w:val="16"/>
        </w:rPr>
        <w:t xml:space="preserve"> in Fig. 7). Since TNQVM simulates</w:t>
      </w:r>
    </w:p>
    <w:p>
      <w:pPr>
        <w:autoSpaceDN w:val="0"/>
        <w:autoSpaceDE w:val="0"/>
        <w:widowControl/>
        <w:spacing w:line="304" w:lineRule="exact" w:before="56" w:after="0"/>
        <w:ind w:left="84" w:right="0" w:firstLine="0"/>
        <w:jc w:val="left"/>
      </w:pPr>
      <w:r>
        <w:rPr>
          <w:w w:val="101.57489776611328"/>
          <w:rFonts w:ascii="BeraSans" w:hAnsi="BeraSans" w:eastAsia="BeraSans"/>
          <w:b w:val="0"/>
          <w:i w:val="0"/>
          <w:color w:val="000000"/>
          <w:sz w:val="16"/>
        </w:rPr>
        <w:t>all noise channels according to the device model (</w:t>
      </w:r>
      <w:r>
        <w:rPr>
          <w:rFonts w:ascii="BeraSansMono" w:hAnsi="BeraSansMono" w:eastAsia="BeraSansMono"/>
          <w:b w:val="0"/>
          <w:i w:val="0"/>
          <w:color w:val="000000"/>
          <w:sz w:val="16"/>
        </w:rPr>
        <w:t>ibmqx2</w:t>
      </w:r>
      <w:r>
        <w:rPr>
          <w:w w:val="101.57489776611328"/>
          <w:rFonts w:ascii="BeraSans" w:hAnsi="BeraSans" w:eastAsia="BeraSans"/>
          <w:b w:val="0"/>
          <w:i w:val="0"/>
          <w:color w:val="000000"/>
          <w:sz w:val="16"/>
        </w:rPr>
        <w:t>), the</w:t>
      </w:r>
      <w:r>
        <w:rPr>
          <w:rFonts w:ascii="txsy" w:hAnsi="txsy" w:eastAsia="txsy"/>
          <w:b w:val="0"/>
          <w:i w:val="0"/>
          <w:color w:val="000000"/>
          <w:sz w:val="18"/>
        </w:rPr>
        <w:t xml:space="preserve"> ⟨</w:t>
      </w:r>
      <w:r>
        <w:rPr>
          <w:rFonts w:ascii="LinLibertineI" w:hAnsi="LinLibertineI" w:eastAsia="LinLibertineI"/>
          <w:b w:val="0"/>
          <w:i w:val="0"/>
          <w:color w:val="000000"/>
          <w:sz w:val="18"/>
        </w:rPr>
        <w:t>Z</w:t>
      </w:r>
      <w:r>
        <w:rPr>
          <w:rFonts w:ascii="txsy" w:hAnsi="txsy" w:eastAsia="txsy"/>
          <w:b w:val="0"/>
          <w:i w:val="0"/>
          <w:color w:val="000000"/>
          <w:sz w:val="18"/>
        </w:rPr>
        <w:t>⟩</w:t>
      </w:r>
    </w:p>
    <w:p>
      <w:pPr>
        <w:autoSpaceDN w:val="0"/>
        <w:autoSpaceDE w:val="0"/>
        <w:widowControl/>
        <w:spacing w:line="162" w:lineRule="exact" w:before="0" w:after="0"/>
        <w:ind w:left="84" w:right="0" w:firstLine="0"/>
        <w:jc w:val="left"/>
      </w:pPr>
      <w:r>
        <w:rPr>
          <w:w w:val="101.52479410171509"/>
          <w:rFonts w:ascii="BeraSans" w:hAnsi="BeraSans" w:eastAsia="BeraSans"/>
          <w:b w:val="0"/>
          <w:i w:val="0"/>
          <w:color w:val="000000"/>
          <w:sz w:val="16"/>
        </w:rPr>
        <w:t>expectation decays as the number of cycles increases. Calibration</w:t>
      </w:r>
    </w:p>
    <w:p>
      <w:pPr>
        <w:autoSpaceDN w:val="0"/>
        <w:autoSpaceDE w:val="0"/>
        <w:widowControl/>
        <w:spacing w:line="162" w:lineRule="exact" w:before="68" w:after="374"/>
        <w:ind w:left="84" w:right="0" w:firstLine="0"/>
        <w:jc w:val="left"/>
      </w:pPr>
      <w:r>
        <w:rPr>
          <w:rFonts w:ascii="BeraSans" w:hAnsi="BeraSans" w:eastAsia="BeraSans"/>
          <w:b w:val="0"/>
          <w:i w:val="0"/>
          <w:color w:val="000000"/>
          <w:sz w:val="16"/>
        </w:rPr>
        <w:t>data: Single qubit Pauli-X error: 8.906e-4 (Q0) and 1.935e-3 (Q1).</w:t>
      </w:r>
    </w:p>
    <w:p>
      <w:pPr>
        <w:sectPr>
          <w:type w:val="nextColumn"/>
          <w:pgSz w:w="12240" w:h="15840"/>
          <w:pgMar w:top="820" w:right="1440" w:bottom="1138" w:left="1440" w:header="720" w:footer="720" w:gutter="0"/>
          <w:cols w:space="720" w:num="2" w:equalWidth="0"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174" w:right="0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across many compute nodes by ExaTN.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39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4.3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Single amplitude calculation</w:t>
      </w:r>
    </w:p>
    <w:p>
      <w:pPr>
        <w:autoSpaceDN w:val="0"/>
        <w:autoSpaceDE w:val="0"/>
        <w:widowControl/>
        <w:spacing w:line="252" w:lineRule="exact" w:before="62" w:after="0"/>
        <w:ind w:left="166" w:right="174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order to demonstrate the parallel performance and efficient use of GPU by the TNQVM-ExaTN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simulator, here we examine the run time of the direct tensor contraction algorithm when simulating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 single output state amplitude (see Table 1) for the Sycamore random quantum circuits involving 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>53 qubits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4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]. The code snippet setting up the simulation experiment is shown in Fig. 9, whereby we 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>can recognize the familiar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 initialization,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AcceleratorBuffer</w:t>
      </w:r>
      <w:r>
        <w:rPr>
          <w:w w:val="98.77510070800781"/>
          <w:rFonts w:ascii="BeraSerif" w:hAnsi="BeraSerif" w:eastAsia="BeraSerif"/>
          <w:b w:val="0"/>
          <w:i w:val="0"/>
          <w:color w:val="000000"/>
          <w:sz w:val="18"/>
        </w:rPr>
        <w:t xml:space="preserve"> allocation, and execution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workflow patterns. The only difference is that we provide a bit-string initialization parameter to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request that the amplitude of that specific bit-string be computed.</w:t>
      </w:r>
    </w:p>
    <w:p>
      <w:pPr>
        <w:autoSpaceDN w:val="0"/>
        <w:autoSpaceDE w:val="0"/>
        <w:widowControl/>
        <w:spacing w:line="250" w:lineRule="exact" w:before="0" w:after="0"/>
        <w:ind w:left="168" w:right="144" w:firstLine="206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The Sycamore test circuits involve a large number of qubits (53), thus making the full state-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vector calculation unfeasible. Instead, we use the projection, as shown in Fig. 2, to compute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amplitude of a particular bit-string of interest. Also, since we intended to run this test on a cluster, </w:t>
      </w:r>
      <w:r>
        <w:rPr>
          <w:w w:val="98.87553320990669"/>
          <w:rFonts w:ascii="BeraSerif" w:hAnsi="BeraSerif" w:eastAsia="BeraSerif"/>
          <w:b w:val="0"/>
          <w:i w:val="0"/>
          <w:color w:val="000000"/>
          <w:sz w:val="18"/>
        </w:rPr>
        <w:t xml:space="preserve">configurations such as the RAM buffer size per MPI process can be customized when initializing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TNQVM accelerator. The random quantum circuit (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>program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variable in Fig. 2) is adopted from the 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>Google’s quantum supremacy experiment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4</w:t>
      </w:r>
      <w:r>
        <w:rPr>
          <w:w w:val="98.67457283867729"/>
          <w:rFonts w:ascii="BeraSerif" w:hAnsi="BeraSerif" w:eastAsia="BeraSerif"/>
          <w:b w:val="0"/>
          <w:i w:val="0"/>
          <w:color w:val="000000"/>
          <w:sz w:val="18"/>
        </w:rPr>
        <w:t xml:space="preserve">] in which the ideal simulation of the depth-14 circuit 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Summit was already considered prohibitively expensive at that time. The performance results for</w:t>
      </w:r>
    </w:p>
    <w:p>
      <w:pPr>
        <w:autoSpaceDN w:val="0"/>
        <w:autoSpaceDE w:val="0"/>
        <w:widowControl/>
        <w:spacing w:line="150" w:lineRule="exact" w:before="386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type w:val="continuous"/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92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8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9360"/>
      </w:tblGrid>
      <w:tr>
        <w:trPr>
          <w:trHeight w:hRule="exact" w:val="3392"/>
        </w:trPr>
        <w:tc>
          <w:tcPr>
            <w:tcW w:type="dxa" w:w="9140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26" w:after="0"/>
              <w:ind w:left="60" w:right="2592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Compute the amplitude of a bit-string: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// BIT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STRING is a vector of length 53, e.g. 000000000...00 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// represents the state whose amplitude we want to compute.</w:t>
            </w:r>
          </w:p>
          <w:p>
            <w:pPr>
              <w:autoSpaceDN w:val="0"/>
              <w:tabs>
                <w:tab w:pos="490" w:val="left"/>
                <w:tab w:pos="4472" w:val="left"/>
              </w:tabs>
              <w:autoSpaceDE w:val="0"/>
              <w:widowControl/>
              <w:spacing w:line="250" w:lineRule="exact" w:before="2" w:after="0"/>
              <w:ind w:left="60" w:right="1296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qpu =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xacc::getAccelerator(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"tnqvm:exatn"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 {{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"bitstring"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 BIT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STRING}, </w:t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{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"exatn-buffer-size-gb"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, 2}}); 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Allocate a register of 53 qubits (Sycamore chip)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qubitReg = xacc::qalloc(53);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// Program is the random quantum circuit.</w:t>
            </w:r>
          </w:p>
          <w:p>
            <w:pPr>
              <w:autoSpaceDN w:val="0"/>
              <w:autoSpaceDE w:val="0"/>
              <w:widowControl/>
              <w:spacing w:line="260" w:lineRule="exact" w:before="0" w:after="0"/>
              <w:ind w:left="60" w:right="1728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qpu-&gt;execute(qubitReg, program);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Retrieve the amplitude result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const double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realAmpl = (*qubitReg)[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"amplitude-real"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].as&lt;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double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&gt;(); 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const double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imagAmpl = (*qubitReg)[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"amplitude-imag"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].as&lt;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double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&gt;();</w:t>
            </w:r>
          </w:p>
        </w:tc>
      </w:tr>
    </w:tbl>
    <w:p>
      <w:pPr>
        <w:autoSpaceDN w:val="0"/>
        <w:autoSpaceDE w:val="0"/>
        <w:widowControl/>
        <w:spacing w:line="3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>
        <w:trPr>
          <w:trHeight w:hRule="exact" w:val="260"/>
        </w:trPr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Fig.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9. Simulating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a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Sycamore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bit-string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amplitude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with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TNQVM.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Variable</w:t>
            </w:r>
          </w:p>
        </w:tc>
        <w:tc>
          <w:tcPr>
            <w:tcW w:type="dxa" w:w="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4" w:after="0"/>
              <w:ind w:left="0" w:right="0" w:firstLine="0"/>
              <w:jc w:val="center"/>
            </w:pP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6"/>
              </w:rPr>
              <w:t>program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is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an</w:t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0" w:after="0"/>
              <w:ind w:left="0" w:right="0" w:firstLine="0"/>
              <w:jc w:val="center"/>
            </w:pPr>
            <w:r>
              <w:rPr>
                <w:w w:val="101.87497138977051"/>
                <w:rFonts w:ascii="BeraSans" w:hAnsi="BeraSans" w:eastAsia="BeraSans"/>
                <w:b w:val="0"/>
                <w:i w:val="0"/>
                <w:color w:val="000000"/>
                <w:sz w:val="16"/>
              </w:rPr>
              <w:t>XACC’s</w:t>
            </w:r>
          </w:p>
        </w:tc>
      </w:tr>
    </w:tbl>
    <w:p>
      <w:pPr>
        <w:autoSpaceDN w:val="0"/>
        <w:autoSpaceDE w:val="0"/>
        <w:widowControl/>
        <w:spacing w:line="210" w:lineRule="exact" w:before="0" w:after="0"/>
        <w:ind w:left="174" w:right="144" w:firstLine="0"/>
        <w:jc w:val="left"/>
      </w:pPr>
      <w:r>
        <w:rPr>
          <w:rFonts w:ascii="BeraSansMono" w:hAnsi="BeraSansMono" w:eastAsia="BeraSansMono"/>
          <w:b w:val="0"/>
          <w:i w:val="0"/>
          <w:color w:val="000000"/>
          <w:sz w:val="16"/>
        </w:rPr>
        <w:t>CompositeInstruction</w:t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 instance compiled from the Sycamore test circuits. Here, we only show a snippet of the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code, not including header files and other initialization/finalization steps</w:t>
      </w:r>
      <w:r>
        <w:rPr>
          <w:rFonts w:ascii="BeraSans" w:hAnsi="BeraSans" w:eastAsia="BeraSans"/>
          <w:b w:val="0"/>
          <w:i w:val="0"/>
          <w:color w:val="000000"/>
          <w:sz w:val="13"/>
        </w:rPr>
        <w:t>*</w:t>
      </w:r>
      <w:r>
        <w:rPr>
          <w:rFonts w:ascii="BeraSans" w:hAnsi="BeraSans" w:eastAsia="BeraSan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48" w:after="0"/>
        <w:ind w:left="0" w:right="0" w:firstLine="0"/>
        <w:jc w:val="center"/>
      </w:pPr>
      <w:r>
        <w:rPr>
          <w:rFonts w:ascii="BeraSerif" w:hAnsi="BeraSerif" w:eastAsia="BeraSerif"/>
          <w:b w:val="0"/>
          <w:i w:val="0"/>
          <w:color w:val="000000"/>
          <w:sz w:val="13"/>
        </w:rPr>
        <w:t>*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t xml:space="preserve">Code for this example is available at </w:t>
      </w:r>
      <w:r>
        <w:rPr>
          <w:rFonts w:ascii="BeraSerif" w:hAnsi="BeraSerif" w:eastAsia="BeraSerif"/>
          <w:b w:val="0"/>
          <w:i w:val="0"/>
          <w:color w:val="000000"/>
          <w:sz w:val="16"/>
        </w:rPr>
        <w:hyperlink r:id="rId27" w:history="1">
          <w:r>
            <w:rPr>
              <w:rStyle w:val="Hyperlink"/>
            </w:rPr>
            <w:t>https://github.com/ORNL-QCI/tnqvm/tree/master/examples/sycamore</w:t>
          </w:r>
        </w:hyperlink>
      </w:r>
    </w:p>
    <w:p>
      <w:pPr>
        <w:autoSpaceDN w:val="0"/>
        <w:autoSpaceDE w:val="0"/>
        <w:widowControl/>
        <w:spacing w:line="250" w:lineRule="exact" w:before="424" w:after="0"/>
        <w:ind w:left="166" w:right="168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 depth-14 Sycamore random quantum circuit are listed in Table 2. Our compilation of the circuit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comprises 2828 quantum gates, a higher count than originally reported because some 1-body gates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had to be additionally decomposed inside XACC, which does not affect computational complexity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(the number of two-body gates is the same).</w:t>
      </w:r>
    </w:p>
    <w:p>
      <w:pPr>
        <w:autoSpaceDN w:val="0"/>
        <w:autoSpaceDE w:val="0"/>
        <w:widowControl/>
        <w:spacing w:line="230" w:lineRule="exact" w:before="304" w:after="246"/>
        <w:ind w:left="168" w:right="144" w:firstLine="0"/>
        <w:jc w:val="left"/>
      </w:pPr>
      <w:r>
        <w:rPr>
          <w:w w:val="101.42452716827393"/>
          <w:rFonts w:ascii="BeraSans" w:hAnsi="BeraSans" w:eastAsia="BeraSans"/>
          <w:b w:val="0"/>
          <w:i w:val="0"/>
          <w:color w:val="000000"/>
          <w:sz w:val="16"/>
        </w:rPr>
        <w:t xml:space="preserve">Table 2. Performance comparison of simulating a single amplitude of the depth-14 2D random quantum circuit </w:t>
      </w:r>
      <w:r>
        <w:rPr>
          <w:rFonts w:ascii="BeraSans" w:hAnsi="BeraSans" w:eastAsia="BeraSans"/>
          <w:b w:val="0"/>
          <w:i w:val="0"/>
          <w:color w:val="000000"/>
          <w:sz w:val="16"/>
        </w:rPr>
        <w:t>with 53 qubits.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70"/>
        </w:trPr>
        <w:tc>
          <w:tcPr>
            <w:tcW w:type="dxa" w:w="251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System</w:t>
            </w:r>
          </w:p>
        </w:tc>
        <w:tc>
          <w:tcPr>
            <w:tcW w:type="dxa" w:w="11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Precision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336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Time to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406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Avg.</w:t>
            </w:r>
          </w:p>
        </w:tc>
        <w:tc>
          <w:tcPr>
            <w:tcW w:type="dxa" w:w="1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Flop count</w:t>
            </w:r>
          </w:p>
        </w:tc>
        <w:tc>
          <w:tcPr>
            <w:tcW w:type="dxa" w:w="1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6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Bit-string</w:t>
            </w:r>
          </w:p>
        </w:tc>
      </w:tr>
      <w:tr>
        <w:trPr>
          <w:trHeight w:hRule="exact" w:val="264"/>
        </w:trPr>
        <w:tc>
          <w:tcPr>
            <w:tcW w:type="dxa" w:w="156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560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14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272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solution [s]</w:t>
            </w:r>
          </w:p>
        </w:tc>
        <w:tc>
          <w:tcPr>
            <w:tcW w:type="dxa" w:w="13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190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Tflop/s/GPU</w:t>
            </w:r>
          </w:p>
        </w:tc>
        <w:tc>
          <w:tcPr>
            <w:tcW w:type="dxa" w:w="13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per GPU</w:t>
            </w:r>
          </w:p>
        </w:tc>
        <w:tc>
          <w:tcPr>
            <w:tcW w:type="dxa" w:w="129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amplitude</w:t>
            </w:r>
          </w:p>
        </w:tc>
      </w:tr>
      <w:tr>
        <w:trPr>
          <w:trHeight w:hRule="exact" w:val="296"/>
        </w:trPr>
        <w:tc>
          <w:tcPr>
            <w:tcW w:type="dxa" w:w="2510"/>
            <w:vMerge w:val="restart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DGX-A100, 8 A100 GPU</w:t>
            </w:r>
          </w:p>
        </w:tc>
        <w:tc>
          <w:tcPr>
            <w:tcW w:type="dxa" w:w="11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162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FP32</w:t>
            </w:r>
          </w:p>
        </w:tc>
        <w:tc>
          <w:tcPr>
            <w:tcW w:type="dxa" w:w="14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10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2003.23</w:t>
            </w:r>
          </w:p>
        </w:tc>
        <w:tc>
          <w:tcPr>
            <w:tcW w:type="dxa" w:w="13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1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15.06</w:t>
            </w:r>
          </w:p>
        </w:tc>
        <w:tc>
          <w:tcPr>
            <w:tcW w:type="dxa" w:w="13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3.0160E+16</w:t>
            </w:r>
          </w:p>
        </w:tc>
        <w:tc>
          <w:tcPr>
            <w:tcW w:type="dxa" w:w="129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8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6.4899E-09</w:t>
            </w:r>
          </w:p>
        </w:tc>
      </w:tr>
      <w:tr>
        <w:trPr>
          <w:trHeight w:hRule="exact" w:val="262"/>
        </w:trPr>
        <w:tc>
          <w:tcPr>
            <w:tcW w:type="dxa" w:w="1560"/>
            <w:vMerge/>
            <w:tcBorders>
              <w:top w:sz="3.184000015258789" w:val="single" w:color="#000000"/>
              <w:bottom w:sz="3.184000015258789" w:val="single" w:color="#000000"/>
            </w:tcBorders>
          </w:tcPr>
          <w:p/>
        </w:tc>
        <w:tc>
          <w:tcPr>
            <w:tcW w:type="dxa" w:w="11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162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TF32</w:t>
            </w:r>
          </w:p>
        </w:tc>
        <w:tc>
          <w:tcPr>
            <w:tcW w:type="dxa" w:w="14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10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868.38</w:t>
            </w:r>
          </w:p>
        </w:tc>
        <w:tc>
          <w:tcPr>
            <w:tcW w:type="dxa" w:w="13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19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34.73</w:t>
            </w:r>
          </w:p>
        </w:tc>
        <w:tc>
          <w:tcPr>
            <w:tcW w:type="dxa" w:w="13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3.0160E+16</w:t>
            </w:r>
          </w:p>
        </w:tc>
        <w:tc>
          <w:tcPr>
            <w:tcW w:type="dxa" w:w="129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6.4840E-09</w:t>
            </w:r>
          </w:p>
        </w:tc>
      </w:tr>
      <w:tr>
        <w:trPr>
          <w:trHeight w:hRule="exact" w:val="260"/>
        </w:trPr>
        <w:tc>
          <w:tcPr>
            <w:tcW w:type="dxa" w:w="251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DGX-1, 8 V100 GPU</w:t>
            </w:r>
          </w:p>
        </w:tc>
        <w:tc>
          <w:tcPr>
            <w:tcW w:type="dxa" w:w="11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FP32</w:t>
            </w:r>
          </w:p>
        </w:tc>
        <w:tc>
          <w:tcPr>
            <w:tcW w:type="dxa" w:w="14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352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13028.92</w:t>
            </w:r>
          </w:p>
        </w:tc>
        <w:tc>
          <w:tcPr>
            <w:tcW w:type="dxa" w:w="13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0" w:right="424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3.05</w:t>
            </w:r>
          </w:p>
        </w:tc>
        <w:tc>
          <w:tcPr>
            <w:tcW w:type="dxa" w:w="13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3.9791E+16</w:t>
            </w:r>
          </w:p>
        </w:tc>
        <w:tc>
          <w:tcPr>
            <w:tcW w:type="dxa" w:w="129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6.4896E-09</w:t>
            </w:r>
          </w:p>
        </w:tc>
      </w:tr>
    </w:tbl>
    <w:p>
      <w:pPr>
        <w:autoSpaceDN w:val="0"/>
        <w:autoSpaceDE w:val="0"/>
        <w:widowControl/>
        <w:spacing w:line="178" w:lineRule="exact" w:before="34" w:after="36"/>
        <w:ind w:left="756" w:right="0" w:firstLine="0"/>
        <w:jc w:val="left"/>
      </w:pPr>
      <w:r>
        <w:rPr>
          <w:rFonts w:ascii="BeraSerif" w:hAnsi="BeraSerif" w:eastAsia="BeraSerif"/>
          <w:b/>
          <w:i w:val="0"/>
          <w:color w:val="000000"/>
          <w:sz w:val="18"/>
        </w:rPr>
        <w:t>OLCF Summit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50"/>
        </w:trPr>
        <w:tc>
          <w:tcPr>
            <w:tcW w:type="dxa" w:w="2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16 nodes, 96 V100 GPU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20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FP32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695.5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0" w:right="264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4.03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27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2.7995E+15</w:t>
            </w:r>
          </w:p>
        </w:tc>
        <w:tc>
          <w:tcPr>
            <w:tcW w:type="dxa" w:w="1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38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6.4899E-09</w:t>
            </w:r>
          </w:p>
        </w:tc>
      </w:tr>
      <w:tr>
        <w:trPr>
          <w:trHeight w:hRule="exact" w:val="240"/>
        </w:trPr>
        <w:tc>
          <w:tcPr>
            <w:tcW w:type="dxa" w:w="2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64 nodes, 384 V100 GPU</w:t>
            </w:r>
          </w:p>
        </w:tc>
        <w:tc>
          <w:tcPr>
            <w:tcW w:type="dxa" w:w="1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20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FP32</w:t>
            </w:r>
          </w:p>
        </w:tc>
        <w:tc>
          <w:tcPr>
            <w:tcW w:type="dxa" w:w="1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125.52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264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4.85</w:t>
            </w:r>
          </w:p>
        </w:tc>
        <w:tc>
          <w:tcPr>
            <w:tcW w:type="dxa" w:w="1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27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6.0856E+14</w:t>
            </w:r>
          </w:p>
        </w:tc>
        <w:tc>
          <w:tcPr>
            <w:tcW w:type="dxa" w:w="129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6.4899E-09</w:t>
            </w:r>
          </w:p>
        </w:tc>
      </w:tr>
      <w:tr>
        <w:trPr>
          <w:trHeight w:hRule="exact" w:val="274"/>
        </w:trPr>
        <w:tc>
          <w:tcPr>
            <w:tcW w:type="dxa" w:w="265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8" w:after="0"/>
              <w:ind w:left="104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64 nodes, 384 V100 GPU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3"/>
              </w:rPr>
              <w:t>1</w:t>
            </w:r>
          </w:p>
        </w:tc>
        <w:tc>
          <w:tcPr>
            <w:tcW w:type="dxa" w:w="10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20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FP32</w:t>
            </w:r>
          </w:p>
        </w:tc>
        <w:tc>
          <w:tcPr>
            <w:tcW w:type="dxa" w:w="14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60.695</w:t>
            </w:r>
          </w:p>
        </w:tc>
        <w:tc>
          <w:tcPr>
            <w:tcW w:type="dxa" w:w="11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0" w:right="264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7.99</w:t>
            </w:r>
          </w:p>
        </w:tc>
        <w:tc>
          <w:tcPr>
            <w:tcW w:type="dxa" w:w="15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27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4.8508E+14</w:t>
            </w:r>
          </w:p>
        </w:tc>
        <w:tc>
          <w:tcPr>
            <w:tcW w:type="dxa" w:w="129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6.4900E-09</w:t>
            </w:r>
          </w:p>
        </w:tc>
      </w:tr>
    </w:tbl>
    <w:p>
      <w:pPr>
        <w:autoSpaceDN w:val="0"/>
        <w:autoSpaceDE w:val="0"/>
        <w:widowControl/>
        <w:spacing w:line="180" w:lineRule="exact" w:before="34" w:after="20"/>
        <w:ind w:left="380" w:right="0" w:firstLine="0"/>
        <w:jc w:val="left"/>
      </w:pPr>
      <w:r>
        <w:rPr>
          <w:rFonts w:ascii="BeraSerif" w:hAnsi="BeraSerif" w:eastAsia="BeraSerif"/>
          <w:b/>
          <w:i w:val="0"/>
          <w:color w:val="000000"/>
          <w:sz w:val="18"/>
        </w:rPr>
        <w:t>Dual AMD Rome CPU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0.0" w:type="dxa"/>
      </w:tblPr>
      <w:tblGrid>
        <w:gridCol w:w="1560"/>
        <w:gridCol w:w="1560"/>
        <w:gridCol w:w="1560"/>
        <w:gridCol w:w="1560"/>
        <w:gridCol w:w="1560"/>
        <w:gridCol w:w="1560"/>
      </w:tblGrid>
      <w:tr>
        <w:trPr>
          <w:trHeight w:hRule="exact" w:val="276"/>
        </w:trPr>
        <w:tc>
          <w:tcPr>
            <w:tcW w:type="dxa" w:w="261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1 node, 2 x 64-core CPU</w:t>
            </w:r>
          </w:p>
        </w:tc>
        <w:tc>
          <w:tcPr>
            <w:tcW w:type="dxa" w:w="10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FP32</w:t>
            </w:r>
          </w:p>
        </w:tc>
        <w:tc>
          <w:tcPr>
            <w:tcW w:type="dxa" w:w="162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20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40571.41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0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2" w:after="0"/>
              <w:ind w:left="0" w:right="264" w:firstLine="0"/>
              <w:jc w:val="righ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2.98</w:t>
            </w:r>
          </w:p>
        </w:tc>
        <w:tc>
          <w:tcPr>
            <w:tcW w:type="dxa" w:w="15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2" w:after="0"/>
              <w:ind w:left="276" w:right="0" w:firstLine="0"/>
              <w:jc w:val="left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3.0160E+16</w:t>
            </w:r>
          </w:p>
        </w:tc>
        <w:tc>
          <w:tcPr>
            <w:tcW w:type="dxa" w:w="129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52" w:after="0"/>
              <w:ind w:left="0" w:right="0" w:firstLine="0"/>
              <w:jc w:val="center"/>
            </w:pP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6.4899E-09</w:t>
            </w:r>
          </w:p>
        </w:tc>
      </w:tr>
    </w:tbl>
    <w:p>
      <w:pPr>
        <w:autoSpaceDN w:val="0"/>
        <w:autoSpaceDE w:val="0"/>
        <w:widowControl/>
        <w:spacing w:line="210" w:lineRule="exact" w:before="684" w:after="0"/>
        <w:ind w:left="174" w:right="6192" w:hanging="4"/>
        <w:jc w:val="left"/>
      </w:pPr>
      <w:r>
        <w:rPr>
          <w:w w:val="101.07454820112748"/>
          <w:rFonts w:ascii="BeraSerif" w:hAnsi="BeraSerif" w:eastAsia="BeraSerif"/>
          <w:b w:val="0"/>
          <w:i w:val="0"/>
          <w:color w:val="000000"/>
          <w:sz w:val="11"/>
        </w:rPr>
        <w:t>1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Faster tensor network contraction path </w:t>
      </w:r>
      <w:r>
        <w:br/>
      </w:r>
      <w:r>
        <w:rPr>
          <w:w w:val="101.07454820112748"/>
          <w:rFonts w:ascii="BeraSerif" w:hAnsi="BeraSerif" w:eastAsia="BeraSerif"/>
          <w:b w:val="0"/>
          <w:i w:val="0"/>
          <w:color w:val="000000"/>
          <w:sz w:val="11"/>
        </w:rPr>
        <w:t>2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Extrapolated after 2-hour execution</w:t>
      </w:r>
    </w:p>
    <w:p>
      <w:pPr>
        <w:autoSpaceDN w:val="0"/>
        <w:autoSpaceDE w:val="0"/>
        <w:widowControl/>
        <w:spacing w:line="150" w:lineRule="exact" w:before="346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74"/>
        <w:gridCol w:w="3174"/>
        <w:gridCol w:w="3174"/>
      </w:tblGrid>
      <w:tr>
        <w:trPr>
          <w:trHeight w:hRule="exact" w:val="12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18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8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84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14" w:lineRule="exact" w:before="0" w:after="330"/>
        <w:ind w:left="0" w:right="0"/>
      </w:pPr>
    </w:p>
    <w:p>
      <w:pPr>
        <w:sectPr>
          <w:pgSz w:w="12240" w:h="15840"/>
          <w:pgMar w:top="820" w:right="1278" w:bottom="1138" w:left="1440" w:header="720" w:footer="720" w:gutter="0"/>
          <w:cols w:space="720" w:num="1" w:equalWidth="0"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166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>As seen from Table 2, on Summit</w:t>
      </w:r>
      <w:r>
        <w:rPr>
          <w:rFonts w:ascii="BeraSerif" w:hAnsi="BeraSerif" w:eastAsia="BeraSerif"/>
          <w:b w:val="0"/>
          <w:i w:val="0"/>
          <w:color w:val="000000"/>
          <w:sz w:val="13"/>
        </w:rPr>
        <w:t>3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observe an excellent strong scaling (from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16 to 64 nodes) as well as a reasonably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good absolute efficiency (27 - 53% of the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theoretical FP32 peak per GPU). The sec-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 xml:space="preserve">ond 64-node experiment on Summit used a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faster tensor contraction path which took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longer to find as the price to pay. The 16-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node and the first 64-node experiments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spent less time in the tensor contraction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path search than in its actual execution,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whereas the second 64-node experiment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spent more time in finding a faster tensor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contraction path than in its actual execu-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tion (this contraction path also turned out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to deliver a better Flop efficiency). In all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these experiments we used an out-of-core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tensor contraction algorithm implemented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 ExaTN, in which the participating ten-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sors may exceed the GPU RAM limit as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long as they fit in a normally larger Host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RAM. The performance of this algorithm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can easily become bound by the Host-to-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Device data transfer bandwidth that can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be clearly seen from the DGX-1</w:t>
      </w:r>
      <w:r>
        <w:rPr>
          <w:rFonts w:ascii="BeraSerif" w:hAnsi="BeraSerif" w:eastAsia="BeraSerif"/>
          <w:b w:val="0"/>
          <w:i w:val="0"/>
          <w:color w:val="000000"/>
          <w:sz w:val="13"/>
        </w:rPr>
        <w:t>4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results</w:t>
      </w:r>
    </w:p>
    <w:p>
      <w:pPr>
        <w:sectPr>
          <w:type w:val="continuous"/>
          <w:pgSz w:w="12240" w:h="15840"/>
          <w:pgMar w:top="820" w:right="1278" w:bottom="1138" w:left="1440" w:header="720" w:footer="720" w:gutter="0"/>
          <w:cols w:space="720" w:num="2" w:equalWidth="0">
            <w:col w:w="4108" w:space="0"/>
            <w:col w:w="5414" w:space="0"/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8.00000000000068" w:type="dxa"/>
      </w:tblPr>
      <w:tblGrid>
        <w:gridCol w:w="9522"/>
      </w:tblGrid>
      <w:tr>
        <w:trPr>
          <w:trHeight w:hRule="exact" w:val="5652"/>
        </w:trPr>
        <w:tc>
          <w:tcPr>
            <w:tcW w:type="dxa" w:w="5084"/>
            <w:tcBorders>
              <w:start w:sz="3.184000015258789" w:val="single" w:color="#000000"/>
              <w:top w:sz="3.184000015258789" w:val="single" w:color="#000000"/>
              <w:end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0" w:val="left"/>
                <w:tab w:pos="920" w:val="left"/>
              </w:tabs>
              <w:autoSpaceDE w:val="0"/>
              <w:widowControl/>
              <w:spacing w:line="252" w:lineRule="exact" w:before="26" w:after="0"/>
              <w:ind w:left="60" w:right="0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Create a Program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program = xasmCompiler-&gt;compile(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__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qpu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__ 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void entangle(qbit q) {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H(q[0]);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for (int i = 1; i &lt; 60; i++) {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CX(q[0], q[i]);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 xml:space="preserve">}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})"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)-&gt;getComposite(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"entangle"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);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const int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NB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QUBITS = 60;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Measure 2 random qubits &amp; compute marginal 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wavefunction slice of 2 random qubits (Q2&amp;Q47) 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BIT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STRING[2] = -1;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BIT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STRING[47] = -1;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// Note: Other bits in the BIT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STRING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array can be set to 0 or 1 </w:t>
            </w:r>
            <w:r>
              <w:br/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>// to denote their projection values.</w:t>
            </w:r>
          </w:p>
          <w:p>
            <w:pPr>
              <w:autoSpaceDN w:val="0"/>
              <w:tabs>
                <w:tab w:pos="490" w:val="left"/>
                <w:tab w:pos="1350" w:val="left"/>
              </w:tabs>
              <w:autoSpaceDE w:val="0"/>
              <w:widowControl/>
              <w:spacing w:line="250" w:lineRule="exact" w:before="2" w:after="0"/>
              <w:ind w:left="60" w:right="576" w:firstLine="0"/>
              <w:jc w:val="left"/>
            </w:pP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qpu = </w:t>
            </w:r>
            <w:r>
              <w:br/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xacc::getAccelerator(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"tnqvm:exatn"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, </w:t>
            </w:r>
            <w:r>
              <w:tab/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{{</w:t>
            </w:r>
            <w:r>
              <w:rPr>
                <w:rFonts w:ascii="BeraSansMono" w:hAnsi="BeraSansMono" w:eastAsia="BeraSansMono"/>
                <w:b w:val="0"/>
                <w:i w:val="0"/>
                <w:color w:val="FF0000"/>
                <w:sz w:val="18"/>
              </w:rPr>
              <w:t>"bitstring"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, BIT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STRING}}); </w:t>
            </w:r>
            <w:r>
              <w:rPr>
                <w:rFonts w:ascii="BeraSansMono" w:hAnsi="BeraSansMono" w:eastAsia="BeraSansMono"/>
                <w:b w:val="0"/>
                <w:i w:val="0"/>
                <w:color w:val="009800"/>
                <w:sz w:val="18"/>
              </w:rPr>
              <w:t xml:space="preserve">// Allocate qubit register and execute </w:t>
            </w:r>
            <w:r>
              <w:rPr>
                <w:rFonts w:ascii="BeraSansMono" w:hAnsi="BeraSansMono" w:eastAsia="BeraSansMono"/>
                <w:b w:val="0"/>
                <w:i w:val="0"/>
                <w:color w:val="0000FF"/>
                <w:sz w:val="18"/>
              </w:rPr>
              <w:t>auto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 qubitReg = xacc::qalloc(NB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_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 xml:space="preserve">QUBITS); </w:t>
            </w:r>
            <w:r>
              <w:rPr>
                <w:rFonts w:ascii="BeraSansMono" w:hAnsi="BeraSansMono" w:eastAsia="BeraSansMono"/>
                <w:b w:val="0"/>
                <w:i w:val="0"/>
                <w:color w:val="000000"/>
                <w:sz w:val="18"/>
              </w:rPr>
              <w:t>qpu-&gt;execute(qubitReg, program);</w:t>
            </w:r>
          </w:p>
        </w:tc>
      </w:tr>
    </w:tbl>
    <w:p>
      <w:pPr>
        <w:autoSpaceDN w:val="0"/>
        <w:autoSpaceDE w:val="0"/>
        <w:widowControl/>
        <w:spacing w:line="160" w:lineRule="exact" w:before="362" w:after="0"/>
        <w:ind w:left="122" w:right="0" w:firstLine="0"/>
        <w:jc w:val="left"/>
      </w:pPr>
      <w:r>
        <w:rPr>
          <w:rFonts w:ascii="BeraSans" w:hAnsi="BeraSans" w:eastAsia="BeraSans"/>
          <w:b w:val="0"/>
          <w:i w:val="0"/>
          <w:color w:val="000000"/>
          <w:sz w:val="16"/>
        </w:rPr>
        <w:t>Fig. 10. Compute the marginal wave function slice for a subset</w:t>
      </w:r>
    </w:p>
    <w:p>
      <w:pPr>
        <w:autoSpaceDN w:val="0"/>
        <w:autoSpaceDE w:val="0"/>
        <w:widowControl/>
        <w:spacing w:line="160" w:lineRule="exact" w:before="70" w:after="70"/>
        <w:ind w:left="122" w:right="0" w:firstLine="0"/>
        <w:jc w:val="left"/>
      </w:pPr>
      <w:r>
        <w:rPr>
          <w:rFonts w:ascii="BeraSans" w:hAnsi="BeraSans" w:eastAsia="BeraSans"/>
          <w:b w:val="0"/>
          <w:i w:val="0"/>
          <w:color w:val="000000"/>
          <w:sz w:val="16"/>
        </w:rPr>
        <w:t>of qubits (2) out of a qubit register of size 60. The qubits are ini-</w:t>
      </w:r>
    </w:p>
    <w:p>
      <w:pPr>
        <w:sectPr>
          <w:type w:val="nextColumn"/>
          <w:pgSz w:w="12240" w:h="15840"/>
          <w:pgMar w:top="820" w:right="1278" w:bottom="1138" w:left="1440" w:header="720" w:footer="720" w:gutter="0"/>
          <w:cols w:space="720" w:num="2" w:equalWidth="0">
            <w:col w:w="4108" w:space="0"/>
            <w:col w:w="5414" w:space="0"/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tabs>
          <w:tab w:pos="4230" w:val="left"/>
        </w:tabs>
        <w:autoSpaceDE w:val="0"/>
        <w:widowControl/>
        <w:spacing w:line="144" w:lineRule="exact" w:before="42" w:after="0"/>
        <w:ind w:left="166" w:right="288" w:firstLine="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where GPUs communicate with the CPU </w:t>
      </w:r>
      <w:r>
        <w:tab/>
      </w:r>
      <w:r>
        <w:rPr>
          <w:rFonts w:ascii="BeraSans" w:hAnsi="BeraSans" w:eastAsia="BeraSans"/>
          <w:b w:val="0"/>
          <w:i w:val="0"/>
          <w:color w:val="000000"/>
          <w:sz w:val="16"/>
        </w:rPr>
        <w:t xml:space="preserve">tialized to a cat state. Here, we only show a snippet of the code, </w:t>
      </w:r>
      <w:r>
        <w:tab/>
      </w:r>
      <w:r>
        <w:rPr>
          <w:w w:val="101.87497138977051"/>
          <w:rFonts w:ascii="BeraSans" w:hAnsi="BeraSans" w:eastAsia="BeraSans"/>
          <w:b w:val="0"/>
          <w:i w:val="0"/>
          <w:color w:val="000000"/>
          <w:sz w:val="16"/>
        </w:rPr>
        <w:t xml:space="preserve">not including header files and other initialization/finalization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Host via the slower PCIe-3 bus instead of </w:t>
      </w:r>
      <w:r>
        <w:br/>
      </w:r>
      <w:r>
        <w:tab/>
      </w:r>
      <w:r>
        <w:rPr>
          <w:rFonts w:ascii="BeraSans" w:hAnsi="BeraSans" w:eastAsia="BeraSans"/>
          <w:b w:val="0"/>
          <w:i w:val="0"/>
          <w:color w:val="000000"/>
          <w:sz w:val="16"/>
        </w:rPr>
        <w:t>steps.</w:t>
      </w:r>
    </w:p>
    <w:p>
      <w:pPr>
        <w:autoSpaceDN w:val="0"/>
        <w:autoSpaceDE w:val="0"/>
        <w:widowControl/>
        <w:spacing w:line="244" w:lineRule="exact" w:before="0" w:after="0"/>
        <w:ind w:left="168" w:right="328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faster NVLink-2. Combined with a lesser amount of Host RAM per MPI process (8 MPI processes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on 8 V100 GPUs versus 6 MPI processes on 6 V100 GPUs on Summit), it resulted in a significant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performance drop, down to about 20% of the absolute FP32 peak per GPU. On the other hand, the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new DGX-A100 box</w:t>
      </w:r>
      <w:r>
        <w:rPr>
          <w:rFonts w:ascii="BeraSerif" w:hAnsi="BeraSerif" w:eastAsia="BeraSerif"/>
          <w:b w:val="0"/>
          <w:i w:val="0"/>
          <w:color w:val="000000"/>
          <w:sz w:val="13"/>
        </w:rPr>
        <w:t>5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with 2 TB of Host RAM and 80 GB RAM per GPU, as well as with a faster PCIe-4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bus, delivers much better FP32 performance for the out-of-core algorithm. Furthermore, the new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A100 tensor cores running with the TF32 precision bump up the performance with an impressive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additional 2.3X speed up while keeping the result correct to 3 decimal digits. Despite such a great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performance of the out-of-core algorithm on DGX-A100 with a quickly generated, but suboptimal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tensor contraction sequence, the simulation of the Sycamore random quantum circuits with a higher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>depth will result in a computational workload with a lower arithmetic intensity, necessitating the full</w:t>
      </w:r>
    </w:p>
    <w:p>
      <w:pPr>
        <w:autoSpaceDN w:val="0"/>
        <w:autoSpaceDE w:val="0"/>
        <w:widowControl/>
        <w:spacing w:line="206" w:lineRule="exact" w:before="442" w:after="0"/>
        <w:ind w:left="170" w:right="288" w:firstLine="0"/>
        <w:jc w:val="left"/>
      </w:pPr>
      <w:r>
        <w:rPr>
          <w:w w:val="101.07454820112748"/>
          <w:rFonts w:ascii="BeraSerif" w:hAnsi="BeraSerif" w:eastAsia="BeraSerif"/>
          <w:b w:val="0"/>
          <w:i w:val="0"/>
          <w:color w:val="000000"/>
          <w:sz w:val="11"/>
        </w:rPr>
        <w:t>3</w:t>
      </w:r>
      <w:r>
        <w:rPr>
          <w:w w:val="102.62645312717981"/>
          <w:rFonts w:ascii="BeraSerif" w:hAnsi="BeraSerif" w:eastAsia="BeraSerif"/>
          <w:b w:val="0"/>
          <w:i w:val="0"/>
          <w:color w:val="000000"/>
          <w:sz w:val="14"/>
        </w:rPr>
        <w:t xml:space="preserve">Summit node: 2 IBM Power9 CPU with 21 cores each, 6 NVIDIA V100 GPU with 16 GB RAM each, NVLink-2 all-to-all, 512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GB Host RAM </w:t>
      </w:r>
      <w:r>
        <w:br/>
      </w:r>
      <w:r>
        <w:rPr>
          <w:w w:val="101.07454820112748"/>
          <w:rFonts w:ascii="BeraSerif" w:hAnsi="BeraSerif" w:eastAsia="BeraSerif"/>
          <w:b w:val="0"/>
          <w:i w:val="0"/>
          <w:color w:val="000000"/>
          <w:sz w:val="11"/>
        </w:rPr>
        <w:t>4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DGX-1 node: 2 Intel Xeon E5-2698 CPU with 20 cores each, 8 NVIDIA V100 GPU with 32 GB RAM each, PCIe-3 bus between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CPU and GPU, 512 GB Host RAM </w:t>
      </w:r>
      <w:r>
        <w:br/>
      </w:r>
      <w:r>
        <w:rPr>
          <w:w w:val="101.07454820112748"/>
          <w:rFonts w:ascii="BeraSerif" w:hAnsi="BeraSerif" w:eastAsia="BeraSerif"/>
          <w:b w:val="0"/>
          <w:i w:val="0"/>
          <w:color w:val="000000"/>
          <w:sz w:val="11"/>
        </w:rPr>
        <w:t>5</w:t>
      </w:r>
      <w:r>
        <w:rPr>
          <w:w w:val="103.39100020272392"/>
          <w:rFonts w:ascii="BeraSerif" w:hAnsi="BeraSerif" w:eastAsia="BeraSerif"/>
          <w:b w:val="0"/>
          <w:i w:val="0"/>
          <w:color w:val="000000"/>
          <w:sz w:val="14"/>
        </w:rPr>
        <w:t xml:space="preserve">DGX-A100 node: 2 AMD Rome CPU with 64 cores each, 8 NVIDIA A100 GPU with 80 GB RAM each, PCIe-4 bus between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CPU and GPU, 2 TB Host RAM</w:t>
      </w:r>
    </w:p>
    <w:p>
      <w:pPr>
        <w:autoSpaceDN w:val="0"/>
        <w:autoSpaceDE w:val="0"/>
        <w:widowControl/>
        <w:spacing w:line="150" w:lineRule="exact" w:before="360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type w:val="continuous"/>
          <w:pgSz w:w="12240" w:h="15840"/>
          <w:pgMar w:top="820" w:right="1278" w:bottom="1138" w:left="1440" w:header="720" w:footer="720" w:gutter="0"/>
          <w:cols w:space="720" w:num="1" w:equalWidth="0">
            <w:col w:w="9522" w:space="0"/>
            <w:col w:w="4108" w:space="0"/>
            <w:col w:w="5414" w:space="0"/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92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250" w:lineRule="exact" w:before="252" w:after="0"/>
        <w:ind w:left="168" w:right="144" w:firstLine="6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transition of all tensors into the GPU RAM (in-core). For this purpose, we have already integrated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TN-QVM with the NVIDIA cuQuantum framework and are looking forward to benchmark it soon.</w:t>
      </w:r>
    </w:p>
    <w:p>
      <w:pPr>
        <w:autoSpaceDN w:val="0"/>
        <w:tabs>
          <w:tab w:pos="682" w:val="left"/>
        </w:tabs>
        <w:autoSpaceDE w:val="0"/>
        <w:widowControl/>
        <w:spacing w:line="196" w:lineRule="exact" w:before="30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4.4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Marginal wave-function slice calculation</w:t>
      </w:r>
    </w:p>
    <w:p>
      <w:pPr>
        <w:autoSpaceDN w:val="0"/>
        <w:autoSpaceDE w:val="0"/>
        <w:widowControl/>
        <w:spacing w:line="252" w:lineRule="exact" w:before="62" w:after="32"/>
        <w:ind w:left="166" w:right="174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Similar to the bit-string amplitude calculation (Fig. 9), one can also use TNQVM to compute a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marginal wave-function (state-vector) slice for a subset of qubits given other qubits are projected to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classical 0 or 1 states. In particular, by keeping a set of</w:t>
      </w:r>
      <w:r>
        <w:rPr>
          <w:rFonts w:ascii="LinLibertineI" w:hAnsi="LinLibertineI" w:eastAsia="LinLibertineI"/>
          <w:b w:val="0"/>
          <w:i w:val="0"/>
          <w:color w:val="000000"/>
          <w:sz w:val="20"/>
        </w:rPr>
        <w:t xml:space="preserve"> n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 qubits open, the computed vector slice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will have a length of</w:t>
      </w:r>
      <w:r>
        <w:rPr>
          <w:rFonts w:ascii="LinLibertineT" w:hAnsi="LinLibertineT" w:eastAsia="LinLibertineT"/>
          <w:b w:val="0"/>
          <w:i w:val="0"/>
          <w:color w:val="000000"/>
          <w:sz w:val="20"/>
        </w:rPr>
        <w:t xml:space="preserve"> 2</w:t>
      </w:r>
      <w:r>
        <w:rPr>
          <w:w w:val="96.96933110555013"/>
          <w:rFonts w:ascii="LinLibertineI7" w:hAnsi="LinLibertineI7" w:eastAsia="LinLibertineI7"/>
          <w:b w:val="0"/>
          <w:i w:val="0"/>
          <w:color w:val="000000"/>
          <w:sz w:val="15"/>
        </w:rPr>
        <w:t>n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, representing the marginal (conditional) wave function of these qubits given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other qubits are fixed. This calculation applies to the chaotic sampling of random quantum circuits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or divide-and-conquer parallelization of the state-vector based simulation.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360"/>
      </w:tblGrid>
      <w:tr>
        <w:trPr>
          <w:trHeight w:hRule="exact" w:val="776"/>
        </w:trPr>
        <w:tc>
          <w:tcPr>
            <w:tcW w:type="dxa" w:w="9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94" w:val="left"/>
                <w:tab w:pos="624" w:val="left"/>
                <w:tab w:pos="676" w:val="left"/>
                <w:tab w:pos="728" w:val="left"/>
              </w:tabs>
              <w:autoSpaceDE w:val="0"/>
              <w:widowControl/>
              <w:spacing w:line="174" w:lineRule="exact" w:before="44" w:after="0"/>
              <w:ind w:left="94" w:right="0" w:firstLine="0"/>
              <w:jc w:val="left"/>
            </w:pPr>
            <w:r>
              <w:tab/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Fig. 10 demonstrates the use of this calculation for a many-qubit cat state, namely, the state </w:t>
            </w:r>
            <w:r>
              <w:tab/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 xml:space="preserve">1 </w:t>
            </w:r>
            <w:r>
              <w:br/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Ψ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⟩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=</w:t>
            </w:r>
            <w:r>
              <w:rPr>
                <w:w w:val="96.96933110555013"/>
                <w:rFonts w:ascii="txsy" w:hAnsi="txsy" w:eastAsia="txsy"/>
                <w:b w:val="0"/>
                <w:i w:val="0"/>
                <w:color w:val="000000"/>
                <w:sz w:val="15"/>
              </w:rPr>
              <w:t>√</w:t>
            </w:r>
            <w:r>
              <w:rPr>
                <w:w w:val="96.96933110555013"/>
                <w:rFonts w:ascii="LinLibertineT" w:hAnsi="LinLibertineT" w:eastAsia="LinLibertineT"/>
                <w:b w:val="0"/>
                <w:i w:val="0"/>
                <w:color w:val="000000"/>
                <w:sz w:val="15"/>
              </w:rPr>
              <w:t>2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(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|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00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00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⟩</w:t>
            </w:r>
            <w:r>
              <w:rPr>
                <w:rFonts w:ascii="rtxr" w:hAnsi="rtxr" w:eastAsia="rtxr"/>
                <w:b w:val="0"/>
                <w:i w:val="0"/>
                <w:color w:val="000000"/>
                <w:sz w:val="20"/>
              </w:rPr>
              <w:t xml:space="preserve"> +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 xml:space="preserve"> |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11</w:t>
            </w:r>
            <w:r>
              <w:rPr>
                <w:rFonts w:ascii="rtxmi" w:hAnsi="rtxmi" w:eastAsia="rtxmi"/>
                <w:b w:val="0"/>
                <w:i w:val="0"/>
                <w:color w:val="000000"/>
                <w:sz w:val="20"/>
              </w:rPr>
              <w:t>..</w:t>
            </w:r>
            <w:r>
              <w:rPr>
                <w:rFonts w:ascii="LinLibertineT" w:hAnsi="LinLibertineT" w:eastAsia="LinLibertineT"/>
                <w:b w:val="0"/>
                <w:i w:val="0"/>
                <w:color w:val="000000"/>
                <w:sz w:val="20"/>
              </w:rPr>
              <w:t>11</w:t>
            </w:r>
            <w:r>
              <w:rPr>
                <w:rFonts w:ascii="txsy" w:hAnsi="txsy" w:eastAsia="txsy"/>
                <w:b w:val="0"/>
                <w:i w:val="0"/>
                <w:color w:val="000000"/>
                <w:sz w:val="20"/>
              </w:rPr>
              <w:t>⟩</w:t>
            </w:r>
            <w:r>
              <w:rPr>
                <w:rFonts w:ascii="LinLibertine" w:hAnsi="LinLibertine" w:eastAsia="LinLibertine"/>
                <w:b w:val="0"/>
                <w:i w:val="0"/>
                <w:color w:val="000000"/>
                <w:sz w:val="20"/>
              </w:rPr>
              <w:t>)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 xml:space="preserve">. This state is generated by the Hadamard gate followed by a sequence of </w:t>
            </w:r>
            <w:r>
              <w:rPr>
                <w:rFonts w:ascii="BeraSerif" w:hAnsi="BeraSerif" w:eastAsia="BeraSerif"/>
                <w:b w:val="0"/>
                <w:i w:val="0"/>
                <w:color w:val="000000"/>
                <w:sz w:val="18"/>
              </w:rPr>
              <w:t>entangling CNOT gates. For demonstration purposes, we randomly selected two open qubits, 2 and</w:t>
            </w:r>
          </w:p>
        </w:tc>
      </w:tr>
    </w:tbl>
    <w:p>
      <w:pPr>
        <w:autoSpaceDN w:val="0"/>
        <w:autoSpaceDE w:val="0"/>
        <w:widowControl/>
        <w:spacing w:line="234" w:lineRule="exact" w:before="0" w:after="0"/>
        <w:ind w:left="166" w:right="144" w:firstLine="2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47, to compute the wave-function slice. Thus, the result vector is expected to have a length of 4 and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will be returned in the</w:t>
      </w:r>
      <w:r>
        <w:rPr>
          <w:rFonts w:ascii="BeraSansMono" w:hAnsi="BeraSansMono" w:eastAsia="BeraSansMono"/>
          <w:b w:val="0"/>
          <w:i w:val="0"/>
          <w:color w:val="000000"/>
          <w:sz w:val="18"/>
        </w:rPr>
        <w:t xml:space="preserve"> AcceleratorBuffer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52" w:lineRule="exact" w:before="2" w:after="0"/>
        <w:ind w:left="166" w:right="0" w:firstLine="200"/>
        <w:jc w:val="left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In TNQVM, we use a special value of -1 to denote open qubits in the input bit-string. Other qubits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are projected to either 0 or 1 values as specified in the bit-string. For instance, given the cat-state, </w:t>
      </w:r>
      <w:r>
        <w:rPr>
          <w:w w:val="98.92571767171225"/>
          <w:rFonts w:ascii="BeraSerif" w:hAnsi="BeraSerif" w:eastAsia="BeraSerif"/>
          <w:b w:val="0"/>
          <w:i w:val="0"/>
          <w:color w:val="000000"/>
          <w:sz w:val="18"/>
        </w:rPr>
        <w:t xml:space="preserve">only when other qubits are all 0’s or all 1’s, then the marginal wave-function result is non-zero. And,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we get a marginal state vector of [1,0,0,0] or [0,0,0,1] for the two cases of all others are 0’s or all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1’s, respectively. This confirms the expected entanglement property of the cat state. As reported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Ref. [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31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], we can further draw bit-string samples from the resulting marginal wave-function slice to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simulate sampling from a subspace of the total Hilbert space determined by those projected qubits.</w:t>
      </w:r>
    </w:p>
    <w:p>
      <w:pPr>
        <w:autoSpaceDN w:val="0"/>
        <w:tabs>
          <w:tab w:pos="496" w:val="left"/>
        </w:tabs>
        <w:autoSpaceDE w:val="0"/>
        <w:widowControl/>
        <w:spacing w:line="196" w:lineRule="exact" w:before="30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 xml:space="preserve">5 </w:t>
      </w:r>
      <w:r>
        <w:tab/>
      </w: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CONCLUSIONS</w:t>
      </w:r>
    </w:p>
    <w:p>
      <w:pPr>
        <w:autoSpaceDN w:val="0"/>
        <w:autoSpaceDE w:val="0"/>
        <w:widowControl/>
        <w:spacing w:line="250" w:lineRule="exact" w:before="64" w:after="0"/>
        <w:ind w:left="174" w:right="174" w:hanging="1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We have introduced a general tensor network based quantum circuit simulator capable of modeling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both ideal and noisy quantum circuits as well as computing various experimentally accessible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properties depending on the tensor network formalism used. The versatility and scalability of the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ExaTN numerical backend used by this new re-architected version of TNQVM enables simulations of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large-scale quantum circuits on leadership HPC platforms. In addition, we have also demonstrated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algorithms that incorporate noisy dissipative processes into the simulations.</w:t>
      </w:r>
    </w:p>
    <w:p>
      <w:pPr>
        <w:autoSpaceDN w:val="0"/>
        <w:autoSpaceDE w:val="0"/>
        <w:widowControl/>
        <w:spacing w:line="252" w:lineRule="exact" w:before="0" w:after="0"/>
        <w:ind w:left="168" w:right="166" w:firstLine="206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TNQVM provides a number of capabilities allowing users to efficiently calculate expectation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values, exactly or approximately, generate unbiased random measurement bit-strings, or compute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state-vector amplitudes. These properties are pertinent to near-term experimental endeavors, such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as studying the variational quantum algorithms and validating the new quantum hardware. In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this respect, TNQVM presents itself as a valuable tool for analysis and verification of quantum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algorithms and devices in pursuit of advancing the progress towards large-scale, fault-tolerant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quantum computing. Our continuous goal is to keep extending the functionality of TNQVM and </w:t>
      </w:r>
      <w:r>
        <w:rPr>
          <w:w w:val="98.62427181667752"/>
          <w:rFonts w:ascii="BeraSerif" w:hAnsi="BeraSerif" w:eastAsia="BeraSerif"/>
          <w:b w:val="0"/>
          <w:i w:val="0"/>
          <w:color w:val="000000"/>
          <w:sz w:val="18"/>
        </w:rPr>
        <w:t xml:space="preserve">ExaTN by incorporating new and more efficient tensor-based techniques into the simulation workflow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in order to enable classical simulation of larger and deeper quantum circuits.</w:t>
      </w:r>
    </w:p>
    <w:p>
      <w:pPr>
        <w:autoSpaceDN w:val="0"/>
        <w:autoSpaceDE w:val="0"/>
        <w:widowControl/>
        <w:spacing w:line="196" w:lineRule="exact" w:before="302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ACKNOWLEDGMENTS</w:t>
      </w:r>
    </w:p>
    <w:p>
      <w:pPr>
        <w:autoSpaceDN w:val="0"/>
        <w:autoSpaceDE w:val="0"/>
        <w:widowControl/>
        <w:spacing w:line="250" w:lineRule="exact" w:before="64" w:after="0"/>
        <w:ind w:left="144" w:right="144" w:firstLine="0"/>
        <w:jc w:val="center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This work has been supported by the US Department of Energy (DOE) Office of Science Advanced </w:t>
      </w:r>
      <w:r>
        <w:rPr>
          <w:w w:val="98.82533815171983"/>
          <w:rFonts w:ascii="BeraSerif" w:hAnsi="BeraSerif" w:eastAsia="BeraSerif"/>
          <w:b w:val="0"/>
          <w:i w:val="0"/>
          <w:color w:val="000000"/>
          <w:sz w:val="18"/>
        </w:rPr>
        <w:t>Scientific Computing Research (ASCR) Quantum Computing Application Teams (QCAT), Accelerated</w:t>
      </w:r>
    </w:p>
    <w:p>
      <w:pPr>
        <w:autoSpaceDN w:val="0"/>
        <w:autoSpaceDE w:val="0"/>
        <w:widowControl/>
        <w:spacing w:line="150" w:lineRule="exact" w:before="340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522" w:space="0"/>
            <w:col w:w="4108" w:space="0"/>
            <w:col w:w="5414" w:space="0"/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7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88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252" w:lineRule="exact" w:before="238" w:after="0"/>
        <w:ind w:left="174" w:right="168" w:firstLine="0"/>
        <w:jc w:val="both"/>
      </w:pP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Research in Quantum Computing (ARQC), and National Quantum Information Science Research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Centers. The development of the core capabilities of the ExaTN library was funded by a laboratory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directed research and development (LDRD) project at the Oak Ridge National Laboratory (LDRD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award 9463). This research used resources of the Oak Ridge Leadership Computing Facility, which </w:t>
      </w:r>
      <w:r>
        <w:rPr>
          <w:w w:val="98.97587034437392"/>
          <w:rFonts w:ascii="BeraSerif" w:hAnsi="BeraSerif" w:eastAsia="BeraSerif"/>
          <w:b w:val="0"/>
          <w:i w:val="0"/>
          <w:color w:val="000000"/>
          <w:sz w:val="18"/>
        </w:rPr>
        <w:t xml:space="preserve">is a DOE Office of Science User Facility supported under Contract DE-AC05-00OR22725. Oak Ridge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 xml:space="preserve">National Laboratory is managed by UT-Battelle, LLC, for the US Department of Energy under </w:t>
      </w:r>
      <w:r>
        <w:rPr>
          <w:w w:val="98.7248526679145"/>
          <w:rFonts w:ascii="BeraSerif" w:hAnsi="BeraSerif" w:eastAsia="BeraSerif"/>
          <w:b w:val="0"/>
          <w:i w:val="0"/>
          <w:color w:val="000000"/>
          <w:sz w:val="18"/>
        </w:rPr>
        <w:t xml:space="preserve">contract no. DE-AC05-00OR22725. We would also like to thank Tom Gibbs and NVIDIA for providing </w:t>
      </w:r>
      <w:r>
        <w:rPr>
          <w:rFonts w:ascii="BeraSerif" w:hAnsi="BeraSerif" w:eastAsia="BeraSerif"/>
          <w:b w:val="0"/>
          <w:i w:val="0"/>
          <w:color w:val="000000"/>
          <w:sz w:val="18"/>
        </w:rPr>
        <w:t>access to the DGX-A100 computational resources for performance benchmarking.</w:t>
      </w:r>
    </w:p>
    <w:p>
      <w:pPr>
        <w:autoSpaceDN w:val="0"/>
        <w:autoSpaceDE w:val="0"/>
        <w:widowControl/>
        <w:spacing w:line="196" w:lineRule="exact" w:before="336" w:after="0"/>
        <w:ind w:left="174" w:right="0" w:firstLine="0"/>
        <w:jc w:val="left"/>
      </w:pPr>
      <w:r>
        <w:rPr>
          <w:w w:val="98.18099975585938"/>
          <w:rFonts w:ascii="BeraSans" w:hAnsi="BeraSans" w:eastAsia="BeraSans"/>
          <w:b w:val="0"/>
          <w:i w:val="0"/>
          <w:color w:val="000000"/>
          <w:sz w:val="20"/>
        </w:rPr>
        <w:t>REFERENCES</w:t>
      </w:r>
    </w:p>
    <w:p>
      <w:pPr>
        <w:autoSpaceDN w:val="0"/>
        <w:tabs>
          <w:tab w:pos="548" w:val="left"/>
          <w:tab w:pos="4238" w:val="left"/>
        </w:tabs>
        <w:autoSpaceDE w:val="0"/>
        <w:widowControl/>
        <w:spacing w:line="210" w:lineRule="exact" w:before="54" w:after="0"/>
        <w:ind w:left="266" w:right="144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[1] 2020. ExaTN library: Exascale Tensor Networks.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1" w:history="1">
          <w:r>
            <w:rPr>
              <w:rStyle w:val="Hyperlink"/>
            </w:rPr>
            <w:t xml:space="preserve">https://github.com/ORNL-QCI/exatn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Scott Aaronson and Daniel Gottesman. 2004. Improved simulation of stabilizer circuits.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Phys. Rev. A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70 (Nov 2004),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052328. Issue 5.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2" w:history="1">
          <w:r>
            <w:rPr>
              <w:rStyle w:val="Hyperlink"/>
            </w:rPr>
            <w:t xml:space="preserve">https://doi.org/10.1103/PhysRevA.70.052328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[3] QIR Alliance. [n.d.]. Quantum Intermediate Representation. https://github.com/qir-alliance/qir-spec.</w:t>
      </w:r>
    </w:p>
    <w:p>
      <w:pPr>
        <w:autoSpaceDN w:val="0"/>
        <w:autoSpaceDE w:val="0"/>
        <w:widowControl/>
        <w:spacing w:line="208" w:lineRule="exact" w:before="2" w:after="0"/>
        <w:ind w:left="548" w:right="144" w:hanging="282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[4]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Frank Arute, Kunal Arya, Ryan Babbush, Dave Bacon, Joseph C Bardin, Rami Barends, Rupak Biswas, Sergio Boixo, 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>Fernando GSL Brandao, David A Buell, et al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2019. Quantum supremacy using a programmable superconducting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processor.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Nature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574, 7779 (2019), 505–510.</w:t>
      </w:r>
    </w:p>
    <w:p>
      <w:pPr>
        <w:autoSpaceDN w:val="0"/>
        <w:tabs>
          <w:tab w:pos="548" w:val="left"/>
          <w:tab w:pos="4372" w:val="left"/>
        </w:tabs>
        <w:autoSpaceDE w:val="0"/>
        <w:widowControl/>
        <w:spacing w:line="208" w:lineRule="exact" w:before="2" w:after="0"/>
        <w:ind w:left="266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[5]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Frank Arute, Kunal Arya, Ryan Babbush, Dave Bacon, Joseph C. Bardin, Rami Barends, Rupak Biswas, Sergio Boixo,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Fernando G. S. L. Brandao, David A. Buell, and et al. 2019. Quantum supremacy using a programmable superconducting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processor.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Nature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574, 7779 (Oct 2019), 505–510.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3" w:history="1">
          <w:r>
            <w:rPr>
              <w:rStyle w:val="Hyperlink"/>
            </w:rPr>
            <w:t xml:space="preserve">https://doi.org/10.1038/s41586-019-1666-5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[6]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Ryan S. Bennink, Erik M. Ferragut, Travis S. Humble, Jason A. Laska, James J. Nutaro, Mark G. Pleszkoch, and Raphael C.</w:t>
      </w:r>
    </w:p>
    <w:p>
      <w:pPr>
        <w:autoSpaceDN w:val="0"/>
        <w:autoSpaceDE w:val="0"/>
        <w:widowControl/>
        <w:spacing w:line="148" w:lineRule="exact" w:before="62" w:after="0"/>
        <w:ind w:left="548" w:right="0" w:firstLine="0"/>
        <w:jc w:val="left"/>
      </w:pP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>Pooser. 2017. Unbiased simulation of near-Clifford quantum circuits.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Phys. Rev. A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95 (Jun 2017), 062337. Issue 6.</w:t>
      </w:r>
    </w:p>
    <w:p>
      <w:pPr>
        <w:autoSpaceDN w:val="0"/>
        <w:tabs>
          <w:tab w:pos="548" w:val="left"/>
          <w:tab w:pos="6868" w:val="left"/>
        </w:tabs>
        <w:autoSpaceDE w:val="0"/>
        <w:widowControl/>
        <w:spacing w:line="210" w:lineRule="exact" w:before="0" w:after="0"/>
        <w:ind w:left="266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4" w:history="1">
          <w:r>
            <w:rPr>
              <w:rStyle w:val="Hyperlink"/>
            </w:rPr>
            <w:t xml:space="preserve">https://doi.org/10.1103/PhysRevA.95.062337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[7]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Sergey Bravyi, Dan Browne, Padraic Calpin, Earl Campbell, David Gosset, and Mark Howard. 2019. Simulation of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quantum circuits by low-rank stabilizer decompositions.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Quantum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3 (Sept. 2019), 181.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hyperlink r:id="rId35" w:history="1">
          <w:r>
            <w:rPr>
              <w:rStyle w:val="Hyperlink"/>
            </w:rPr>
            <w:t>https://doi.org/10.22331/q-2019-</w:t>
          </w:r>
        </w:hyperlink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5" w:history="1">
          <w:r>
            <w:rPr>
              <w:rStyle w:val="Hyperlink"/>
            </w:rPr>
            <w:t xml:space="preserve">09-02-181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[8]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 Sergey Bravyi and David Gosset. 2016. Improved Classical Simulation of Quantum Circuits Dominated by Clifford Gates.</w:t>
      </w:r>
    </w:p>
    <w:p>
      <w:pPr>
        <w:autoSpaceDN w:val="0"/>
        <w:tabs>
          <w:tab w:pos="266" w:val="left"/>
          <w:tab w:pos="542" w:val="left"/>
          <w:tab w:pos="548" w:val="left"/>
          <w:tab w:pos="2054" w:val="left"/>
          <w:tab w:pos="3598" w:val="left"/>
          <w:tab w:pos="5380" w:val="left"/>
        </w:tabs>
        <w:autoSpaceDE w:val="0"/>
        <w:widowControl/>
        <w:spacing w:line="210" w:lineRule="exact" w:before="0" w:after="0"/>
        <w:ind w:left="174" w:right="144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Phys. Rev. Lett.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116 (Jun 2016), 250501. Issue 25.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6" w:history="1">
          <w:r>
            <w:rPr>
              <w:rStyle w:val="Hyperlink"/>
            </w:rPr>
            <w:t xml:space="preserve">https://doi.org/10.1103/PhysRevLett.116.250501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[9]</w:t>
      </w:r>
      <w:r>
        <w:rPr>
          <w:w w:val="102.67759731837683"/>
          <w:rFonts w:ascii="BeraSerif" w:hAnsi="BeraSerif" w:eastAsia="BeraSerif"/>
          <w:b w:val="0"/>
          <w:i w:val="0"/>
          <w:color w:val="000000"/>
          <w:sz w:val="14"/>
        </w:rPr>
        <w:t xml:space="preserve"> Aidan Dang, Charles D. Hill, and Lloyd C. L. Hollenberg. 2019. Optimising Matrix Product State Simulations of Shor’s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Algorithm.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Quantum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3 (Jan. 2019), 116.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7" w:history="1">
          <w:r>
            <w:rPr>
              <w:rStyle w:val="Hyperlink"/>
            </w:rPr>
            <w:t xml:space="preserve">https://doi.org/10.22331/q-2019-01-25-116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[10]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Hans De Raedt, Fengping Jin, Dennis Willsch, Madita Willsch, Naoki Yoshioka, Nobuyasu Ito, Shengjun Yuan, and Kristel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Michielsen. 2019. Massively parallel quantum computer simulator, eleven years later.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Computer Physics Communications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237 (2019), 47–61.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8" w:history="1">
          <w:r>
            <w:rPr>
              <w:rStyle w:val="Hyperlink"/>
            </w:rPr>
            <w:t xml:space="preserve">https://doi.org/10.1016/j.cpc.2018.11.005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[11]</w:t>
      </w:r>
      <w:r>
        <w:rPr>
          <w:w w:val="101.80460384913854"/>
          <w:rFonts w:ascii="BeraSerif" w:hAnsi="BeraSerif" w:eastAsia="BeraSerif"/>
          <w:b w:val="0"/>
          <w:i w:val="0"/>
          <w:color w:val="000000"/>
          <w:sz w:val="14"/>
        </w:rPr>
        <w:t xml:space="preserve"> Matthew Fishman, Steven R. White, and E. Miles Stoudenmire. 2020. The ITensor Software Library for Tensor Network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Calculations. arXiv: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39" w:history="1">
          <w:r>
            <w:rPr>
              <w:rStyle w:val="Hyperlink"/>
            </w:rPr>
            <w:t>2007.14822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[cs.MS]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[12]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Erich Gamma, Richard Helm, Ralph Johnson, and John M. Vlissides. 1994.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Design Patterns: Elements of Reusable </w:t>
      </w:r>
      <w:r>
        <w:tab/>
      </w:r>
      <w:r>
        <w:rPr>
          <w:w w:val="103.28938620431083"/>
          <w:rFonts w:ascii="BeraSerif" w:hAnsi="BeraSerif" w:eastAsia="BeraSerif"/>
          <w:b w:val="0"/>
          <w:i w:val="0"/>
          <w:color w:val="000000"/>
          <w:sz w:val="14"/>
        </w:rPr>
        <w:hyperlink r:id="rId40" w:history="1">
          <w:r>
            <w:rPr>
              <w:rStyle w:val="Hyperlink"/>
            </w:rPr>
            <w:t>http://www.amazon.com/Design-Patterns-Elements-</w:t>
          </w:r>
        </w:hyperlink>
      </w:r>
      <w:r>
        <w:rPr>
          <w:w w:val="103.28938620431083"/>
          <w:rFonts w:ascii="BeraSerif" w:hAnsi="BeraSerif" w:eastAsia="BeraSerif"/>
          <w:b w:val="0"/>
          <w:i w:val="0"/>
          <w:color w:val="000000"/>
          <w:sz w:val="14"/>
        </w:rPr>
        <w:t>Object-Oriented Software</w:t>
      </w:r>
      <w:r>
        <w:rPr>
          <w:w w:val="103.28938620431083"/>
          <w:rFonts w:ascii="BeraSerif" w:hAnsi="BeraSerif" w:eastAsia="BeraSerif"/>
          <w:b w:val="0"/>
          <w:i w:val="0"/>
          <w:color w:val="000000"/>
          <w:sz w:val="14"/>
        </w:rPr>
        <w:t xml:space="preserve"> (1 ed.). Addison-Wesley Professional.</w:t>
      </w:r>
    </w:p>
    <w:p>
      <w:pPr>
        <w:autoSpaceDN w:val="0"/>
        <w:tabs>
          <w:tab w:pos="548" w:val="left"/>
        </w:tabs>
        <w:autoSpaceDE w:val="0"/>
        <w:widowControl/>
        <w:spacing w:line="210" w:lineRule="exact" w:before="0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0" w:history="1">
          <w:r>
            <w:rPr>
              <w:rStyle w:val="Hyperlink"/>
            </w:rPr>
            <w:t xml:space="preserve">Reusable-Object-Oriented/dp/0201633612/ref=ntt_at_ep_dpi_1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[13] Craig Gidney. 2021. Stim: a fast stabilizer circuit simulator. arXiv: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1" w:history="1">
          <w:r>
            <w:rPr>
              <w:rStyle w:val="Hyperlink"/>
            </w:rPr>
            <w:t>2103.02202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[quant-ph]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[14]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Ivan Glasser, Nicola Pancotti, and J. Ignacio Cirac. 2019. From probabilistic graphical models to generalized tensor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networks for supervised learning. arXiv: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2" w:history="1">
          <w:r>
            <w:rPr>
              <w:rStyle w:val="Hyperlink"/>
            </w:rPr>
            <w:t>1806.05964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[quant-ph]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[15]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Johnnie Gray. 2018. quimb: a python library for quantum information and many-body calculations.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Journal of Open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Source Software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3, 29 (2018), 819.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3" w:history="1">
          <w:r>
            <w:rPr>
              <w:rStyle w:val="Hyperlink"/>
            </w:rPr>
            <w:t xml:space="preserve">https://doi.org/10.21105/joss.00819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[16]</w:t>
      </w:r>
      <w:r>
        <w:rPr>
          <w:w w:val="102.21635273524694"/>
          <w:rFonts w:ascii="BeraSerif" w:hAnsi="BeraSerif" w:eastAsia="BeraSerif"/>
          <w:b w:val="0"/>
          <w:i w:val="0"/>
          <w:color w:val="000000"/>
          <w:sz w:val="14"/>
        </w:rPr>
        <w:t xml:space="preserve"> Johnnie Gray and Stefanos Kourtis. 2021. Hyper-optimized tensor network contraction.</w:t>
      </w:r>
      <w:r>
        <w:rPr>
          <w:w w:val="102.21635273524694"/>
          <w:rFonts w:ascii="BeraSerif" w:hAnsi="BeraSerif" w:eastAsia="BeraSerif"/>
          <w:b w:val="0"/>
          <w:i w:val="0"/>
          <w:color w:val="000000"/>
          <w:sz w:val="14"/>
        </w:rPr>
        <w:t xml:space="preserve"> Quantum</w:t>
      </w:r>
      <w:r>
        <w:rPr>
          <w:w w:val="102.21635273524694"/>
          <w:rFonts w:ascii="BeraSerif" w:hAnsi="BeraSerif" w:eastAsia="BeraSerif"/>
          <w:b w:val="0"/>
          <w:i w:val="0"/>
          <w:color w:val="000000"/>
          <w:sz w:val="14"/>
        </w:rPr>
        <w:t xml:space="preserve"> 5 (March 2021), 410.</w:t>
      </w:r>
    </w:p>
    <w:p>
      <w:pPr>
        <w:autoSpaceDN w:val="0"/>
        <w:tabs>
          <w:tab w:pos="548" w:val="left"/>
        </w:tabs>
        <w:autoSpaceDE w:val="0"/>
        <w:widowControl/>
        <w:spacing w:line="208" w:lineRule="exact" w:before="2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4" w:history="1">
          <w:r>
            <w:rPr>
              <w:rStyle w:val="Hyperlink"/>
            </w:rPr>
            <w:t xml:space="preserve">https://doi.org/10.22331/q-2021-03-15-410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[17]</w:t>
      </w:r>
      <w:r>
        <w:rPr>
          <w:w w:val="101.95920126778739"/>
          <w:rFonts w:ascii="BeraSerif" w:hAnsi="BeraSerif" w:eastAsia="BeraSerif"/>
          <w:b w:val="0"/>
          <w:i w:val="0"/>
          <w:color w:val="000000"/>
          <w:sz w:val="14"/>
        </w:rPr>
        <w:t xml:space="preserve"> Gian Giacomo Guerreschi, Justin Hogaboam, Fabio Baruffa, and Nicolas P D Sawaya. 2020. Intel Quantum Simulator: a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cloud-ready high-performance simulator of quantum circuits.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Quantum Science and Technology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5, 3 (may 2020), 034007.</w:t>
      </w:r>
    </w:p>
    <w:p>
      <w:pPr>
        <w:autoSpaceDN w:val="0"/>
        <w:tabs>
          <w:tab w:pos="548" w:val="left"/>
        </w:tabs>
        <w:autoSpaceDE w:val="0"/>
        <w:widowControl/>
        <w:spacing w:line="208" w:lineRule="exact" w:before="2" w:after="0"/>
        <w:ind w:left="174" w:right="144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5" w:history="1">
          <w:r>
            <w:rPr>
              <w:rStyle w:val="Hyperlink"/>
            </w:rPr>
            <w:t xml:space="preserve">https://doi.org/10.1088/2058-9565/ab8505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[18]</w:t>
      </w:r>
      <w:r>
        <w:rPr>
          <w:w w:val="102.77981758117676"/>
          <w:rFonts w:ascii="BeraSerif" w:hAnsi="BeraSerif" w:eastAsia="BeraSerif"/>
          <w:b w:val="0"/>
          <w:i w:val="0"/>
          <w:color w:val="000000"/>
          <w:sz w:val="14"/>
        </w:rPr>
        <w:t xml:space="preserve"> Zhao-Yu Han, Jun Wang, Heng Fan, Lei Wang, and Pan Zhang. 2018. Unsupervised Generative Modeling Using Matrix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Product States.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Phys. Rev. X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8 (Jul 2018), 031012. Issue 3.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6" w:history="1">
          <w:r>
            <w:rPr>
              <w:rStyle w:val="Hyperlink"/>
            </w:rPr>
            <w:t>https://doi.org/10.1103/PhysRevX.8.031012</w:t>
          </w:r>
        </w:hyperlink>
      </w:r>
    </w:p>
    <w:p>
      <w:pPr>
        <w:autoSpaceDN w:val="0"/>
        <w:autoSpaceDE w:val="0"/>
        <w:widowControl/>
        <w:spacing w:line="150" w:lineRule="exact" w:before="366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20" w:right="1440" w:bottom="1138" w:left="1440" w:header="720" w:footer="720" w:gutter="0"/>
          <w:cols w:space="720" w:num="1" w:equalWidth="0">
            <w:col w:w="9360" w:space="0"/>
            <w:col w:w="9360" w:space="0"/>
            <w:col w:w="9522" w:space="0"/>
            <w:col w:w="4108" w:space="0"/>
            <w:col w:w="5414" w:space="0"/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9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1418590</wp:posOffset>
            </wp:positionH>
            <wp:positionV relativeFrom="page">
              <wp:posOffset>2653030</wp:posOffset>
            </wp:positionV>
            <wp:extent cx="4935220" cy="475126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126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80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92" w:firstLine="0"/>
              <w:jc w:val="righ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Tensor Network Quantum Virtual Machine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21</w:t>
            </w:r>
          </w:p>
        </w:tc>
      </w:tr>
    </w:tbl>
    <w:p>
      <w:pPr>
        <w:autoSpaceDN w:val="0"/>
        <w:tabs>
          <w:tab w:pos="548" w:val="left"/>
        </w:tabs>
        <w:autoSpaceDE w:val="0"/>
        <w:widowControl/>
        <w:spacing w:line="208" w:lineRule="exact" w:before="286" w:after="0"/>
        <w:ind w:left="174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[19]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Thomas Häner and Damian S. Steiger. 2017. 0.5 petabyte simulation of a 45-qubit quantum circuit.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Proceedings </w:t>
      </w:r>
      <w:r>
        <w:tab/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>of the International Conference for High Performance Computing, Networking, Storage and Analysis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(Nov 2017).</w:t>
      </w:r>
    </w:p>
    <w:p>
      <w:pPr>
        <w:autoSpaceDN w:val="0"/>
        <w:tabs>
          <w:tab w:pos="544" w:val="left"/>
          <w:tab w:pos="548" w:val="left"/>
        </w:tabs>
        <w:autoSpaceDE w:val="0"/>
        <w:widowControl/>
        <w:spacing w:line="210" w:lineRule="exact" w:before="0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7" w:history="1">
          <w:r>
            <w:rPr>
              <w:rStyle w:val="Hyperlink"/>
            </w:rPr>
            <w:t xml:space="preserve">https://doi.org/10.1145/3126908.3126947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[20]</w:t>
      </w:r>
      <w:r>
        <w:rPr>
          <w:w w:val="102.37033026559013"/>
          <w:rFonts w:ascii="BeraSerif" w:hAnsi="BeraSerif" w:eastAsia="BeraSerif"/>
          <w:b w:val="0"/>
          <w:i w:val="0"/>
          <w:color w:val="000000"/>
          <w:sz w:val="14"/>
        </w:rPr>
        <w:t xml:space="preserve"> Cupjin Huang, Fang Zhang, Michael Newman, Junjie Cai, Xun Gao, Zhengxiong Tian, Junyin Wu, Haihong Xu, Huanjun </w:t>
      </w:r>
      <w:r>
        <w:tab/>
      </w:r>
      <w:r>
        <w:rPr>
          <w:w w:val="102.21635273524694"/>
          <w:rFonts w:ascii="BeraSerif" w:hAnsi="BeraSerif" w:eastAsia="BeraSerif"/>
          <w:b w:val="0"/>
          <w:i w:val="0"/>
          <w:color w:val="000000"/>
          <w:sz w:val="14"/>
        </w:rPr>
        <w:t>Yu, Bo Yuan, Mario Szegedy, Yaoyun Shi, and Jianxin Chen. 2020. Classical Simulation of Quantum Supremacy Circuits.</w:t>
      </w:r>
    </w:p>
    <w:p>
      <w:pPr>
        <w:autoSpaceDN w:val="0"/>
        <w:tabs>
          <w:tab w:pos="548" w:val="left"/>
        </w:tabs>
        <w:autoSpaceDE w:val="0"/>
        <w:widowControl/>
        <w:spacing w:line="210" w:lineRule="exact" w:before="0" w:after="0"/>
        <w:ind w:left="174" w:right="144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arXiv: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8" w:history="1">
          <w:r>
            <w:rPr>
              <w:rStyle w:val="Hyperlink"/>
            </w:rPr>
            <w:t>2005.06787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[quant-ph]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[21]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Wenzel Jakob, Jason Rhinelander, and Dean Moldovan. 2017. pybind11 – Seamless operability between C++11 and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Python. https://github.com/pybind/pybind11.</w:t>
      </w:r>
    </w:p>
    <w:p>
      <w:pPr>
        <w:autoSpaceDN w:val="0"/>
        <w:autoSpaceDE w:val="0"/>
        <w:widowControl/>
        <w:spacing w:line="148" w:lineRule="exact" w:before="60" w:after="0"/>
        <w:ind w:left="0" w:right="0" w:firstLine="0"/>
        <w:jc w:val="center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[22]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George Karypis and Vipin Kumar. 1999. A fast and high quality multilevel scheme for partitioning irregular graphs.</w:t>
      </w:r>
    </w:p>
    <w:p>
      <w:pPr>
        <w:autoSpaceDN w:val="0"/>
        <w:tabs>
          <w:tab w:pos="548" w:val="left"/>
        </w:tabs>
        <w:autoSpaceDE w:val="0"/>
        <w:widowControl/>
        <w:spacing w:line="210" w:lineRule="exact" w:before="0" w:after="0"/>
        <w:ind w:left="174" w:right="144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SIAM Journal on Scientific Computing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20, 1 (1999), 359–392.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49" w:history="1">
          <w:r>
            <w:rPr>
              <w:rStyle w:val="Hyperlink"/>
            </w:rPr>
            <w:t xml:space="preserve">http://glaros.dtc.umn.edu/gkhome/views/metis 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[23]</w:t>
      </w:r>
      <w:r>
        <w:rPr>
          <w:w w:val="102.52408300127303"/>
          <w:rFonts w:ascii="BeraSerif" w:hAnsi="BeraSerif" w:eastAsia="BeraSerif"/>
          <w:b w:val="0"/>
          <w:i w:val="0"/>
          <w:color w:val="000000"/>
          <w:sz w:val="14"/>
        </w:rPr>
        <w:t xml:space="preserve"> Ang Li, Omer Subasi, Xiu Yang, and Sriram Krishnamoorthy. 2020. Density Matrix Quantum Circuit Simulation via the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BSP Machine on Modern GPU Clusters. In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Proceedings of the International Conference for High Performance Computing,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Networking, Storage and Analysis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.</w:t>
      </w:r>
    </w:p>
    <w:p>
      <w:pPr>
        <w:autoSpaceDN w:val="0"/>
        <w:autoSpaceDE w:val="0"/>
        <w:widowControl/>
        <w:spacing w:line="150" w:lineRule="exact" w:before="60" w:after="0"/>
        <w:ind w:left="0" w:right="0" w:firstLine="0"/>
        <w:jc w:val="center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[24]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Danylo Lykov, Angela Chen, Huaxuan Chen, Kristopher Keipert, Zheng Zhang, Tom Gibbs, and Yuri Alexeev. 2021.</w:t>
      </w:r>
    </w:p>
    <w:p>
      <w:pPr>
        <w:autoSpaceDN w:val="0"/>
        <w:autoSpaceDE w:val="0"/>
        <w:widowControl/>
        <w:spacing w:line="208" w:lineRule="exact" w:before="0" w:after="0"/>
        <w:ind w:left="144" w:right="152" w:firstLine="0"/>
        <w:jc w:val="right"/>
      </w:pP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Performance Evaluation and Acceleration of the QTensor Quantum Circuit Simulator on GPUs. In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2021 IEEE/ACM Second </w:t>
      </w:r>
      <w:r>
        <w:rPr>
          <w:w w:val="101.49469375610352"/>
          <w:rFonts w:ascii="BeraSerif" w:hAnsi="BeraSerif" w:eastAsia="BeraSerif"/>
          <w:b w:val="0"/>
          <w:i w:val="0"/>
          <w:color w:val="000000"/>
          <w:sz w:val="14"/>
        </w:rPr>
        <w:t>International Workshop on Quantum Computing Software (QCS)</w:t>
      </w:r>
      <w:r>
        <w:rPr>
          <w:w w:val="101.49469375610352"/>
          <w:rFonts w:ascii="BeraSerif" w:hAnsi="BeraSerif" w:eastAsia="BeraSerif"/>
          <w:b w:val="0"/>
          <w:i w:val="0"/>
          <w:color w:val="000000"/>
          <w:sz w:val="14"/>
        </w:rPr>
        <w:t xml:space="preserve">. 27–34. </w:t>
      </w:r>
      <w:r>
        <w:rPr>
          <w:w w:val="101.49469375610352"/>
          <w:rFonts w:ascii="BeraSerif" w:hAnsi="BeraSerif" w:eastAsia="BeraSerif"/>
          <w:b w:val="0"/>
          <w:i w:val="0"/>
          <w:color w:val="000000"/>
          <w:sz w:val="14"/>
        </w:rPr>
        <w:hyperlink r:id="rId50" w:history="1">
          <w:r>
            <w:rPr>
              <w:rStyle w:val="Hyperlink"/>
            </w:rPr>
            <w:t xml:space="preserve">https://doi.org/10.1109/QCS54837.2021.00007 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[25]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Igor L. Markov and Yaoyun Shi. 2008. Simulating Quantum Computation by Contracting Tensor Networks.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SIAM J.</w:t>
      </w:r>
    </w:p>
    <w:p>
      <w:pPr>
        <w:autoSpaceDN w:val="0"/>
        <w:tabs>
          <w:tab w:pos="548" w:val="left"/>
        </w:tabs>
        <w:autoSpaceDE w:val="0"/>
        <w:widowControl/>
        <w:spacing w:line="208" w:lineRule="exact" w:before="2" w:after="0"/>
        <w:ind w:left="174" w:right="144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Comput.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38, 3 (2008), 963–981.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1" w:history="1">
          <w:r>
            <w:rPr>
              <w:rStyle w:val="Hyperlink"/>
            </w:rPr>
            <w:t xml:space="preserve">https://doi.org/10.1137/050644756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[26]</w:t>
      </w:r>
      <w:r>
        <w:rPr>
          <w:w w:val="101.95920126778739"/>
          <w:rFonts w:ascii="BeraSerif" w:hAnsi="BeraSerif" w:eastAsia="BeraSerif"/>
          <w:b w:val="0"/>
          <w:i w:val="0"/>
          <w:color w:val="000000"/>
          <w:sz w:val="14"/>
        </w:rPr>
        <w:t xml:space="preserve"> Alexander McCaskey, Eugene Dumitrescu, Mengsu Chen, Dmitry Lyakh, and Travis Humble. 2018. Validating quantum-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classical programming models with tensor network simulations.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PloS one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13, 12 (2018), e0206704.</w:t>
      </w:r>
    </w:p>
    <w:p>
      <w:pPr>
        <w:autoSpaceDN w:val="0"/>
        <w:autoSpaceDE w:val="0"/>
        <w:widowControl/>
        <w:spacing w:line="208" w:lineRule="exact" w:before="2" w:after="0"/>
        <w:ind w:left="548" w:right="174" w:hanging="374"/>
        <w:jc w:val="both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[27]</w:t>
      </w:r>
      <w:r>
        <w:rPr>
          <w:w w:val="103.39100020272392"/>
          <w:rFonts w:ascii="BeraSerif" w:hAnsi="BeraSerif" w:eastAsia="BeraSerif"/>
          <w:b w:val="0"/>
          <w:i w:val="0"/>
          <w:color w:val="000000"/>
          <w:sz w:val="14"/>
        </w:rPr>
        <w:t xml:space="preserve"> Alexander J McCaskey, Dmitry I Lyakh, Eugene F Dumitrescu, Sarah S Powers, and Travis S Humble. 2020. XACC: a 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system-level software infrastructure for heterogeneous quantum–classical computing.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Quantum Science and Technology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5, 2 (2020), 024002.</w:t>
      </w:r>
    </w:p>
    <w:p>
      <w:pPr>
        <w:autoSpaceDN w:val="0"/>
        <w:tabs>
          <w:tab w:pos="548" w:val="left"/>
        </w:tabs>
        <w:autoSpaceDE w:val="0"/>
        <w:widowControl/>
        <w:spacing w:line="208" w:lineRule="exact" w:before="2" w:after="0"/>
        <w:ind w:left="174" w:right="144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[28]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 Michael A. Nielsen and Isaac L. Chuang. 2000.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 Quantum Computation and Quantum Information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. Cambridge University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Press.</w:t>
      </w:r>
    </w:p>
    <w:p>
      <w:pPr>
        <w:autoSpaceDN w:val="0"/>
        <w:tabs>
          <w:tab w:pos="548" w:val="left"/>
          <w:tab w:pos="4102" w:val="left"/>
          <w:tab w:pos="7902" w:val="left"/>
        </w:tabs>
        <w:autoSpaceDE w:val="0"/>
        <w:widowControl/>
        <w:spacing w:line="210" w:lineRule="exact" w:before="0" w:after="0"/>
        <w:ind w:left="174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[29] NVIDIA. 2021. cuQuantum: Accelerate Quantum Information Science. https://developer.nvidia.com/cuquantum-sdk.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[30]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Román Orús. 2014. A practical introduction to tensor networks: Matrix product states and projected entangled pair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states.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Annals of Physics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349 (2014), 117–158.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2" w:history="1">
          <w:r>
            <w:rPr>
              <w:rStyle w:val="Hyperlink"/>
            </w:rPr>
            <w:t xml:space="preserve">https://doi.org/10.1016/j.aop.2014.06.013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[31] Feng Pan and Pan Zhang. 2021. Simulating the Sycamore quantum supremacy circuits. arXiv: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3" w:history="1">
          <w:r>
            <w:rPr>
              <w:rStyle w:val="Hyperlink"/>
            </w:rPr>
            <w:t>2103.03074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[quant-ph]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[32]</w:t>
      </w:r>
      <w:r>
        <w:rPr>
          <w:w w:val="102.57528168814522"/>
          <w:rFonts w:ascii="BeraSerif" w:hAnsi="BeraSerif" w:eastAsia="BeraSerif"/>
          <w:b w:val="0"/>
          <w:i w:val="0"/>
          <w:color w:val="000000"/>
          <w:sz w:val="14"/>
        </w:rPr>
        <w:t xml:space="preserve"> Agustin Di Paolo, Thomas E. Baker, Alexandre Foley, David Sénéchal, and Alexandre Blais. 2021. Efficient modeling of </w:t>
      </w:r>
      <w:r>
        <w:tab/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>superconducting quantum circuits with tensor networks.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 npj Quantum Information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t xml:space="preserve"> 7, 1 (2021). </w:t>
      </w:r>
      <w:r>
        <w:rPr>
          <w:w w:val="101.54641015189034"/>
          <w:rFonts w:ascii="BeraSerif" w:hAnsi="BeraSerif" w:eastAsia="BeraSerif"/>
          <w:b w:val="0"/>
          <w:i w:val="0"/>
          <w:color w:val="000000"/>
          <w:sz w:val="14"/>
        </w:rPr>
        <w:hyperlink r:id="rId54" w:history="1">
          <w:r>
            <w:rPr>
              <w:rStyle w:val="Hyperlink"/>
            </w:rPr>
            <w:t xml:space="preserve">https://doi.org/10.1038/ </w:t>
          </w:r>
        </w:hyperlink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4" w:history="1">
          <w:r>
            <w:rPr>
              <w:rStyle w:val="Hyperlink"/>
            </w:rPr>
            <w:t xml:space="preserve">s41534-020-00352-4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[33]</w:t>
      </w:r>
      <w:r>
        <w:rPr>
          <w:w w:val="102.62645312717981"/>
          <w:rFonts w:ascii="BeraSerif" w:hAnsi="BeraSerif" w:eastAsia="BeraSerif"/>
          <w:b w:val="0"/>
          <w:i w:val="0"/>
          <w:color w:val="000000"/>
          <w:sz w:val="14"/>
        </w:rPr>
        <w:t xml:space="preserve"> John Preskill. 2018. Quantum Computing in the NISQ era and beyond.</w:t>
      </w:r>
      <w:r>
        <w:rPr>
          <w:w w:val="102.62645312717981"/>
          <w:rFonts w:ascii="BeraSerif" w:hAnsi="BeraSerif" w:eastAsia="BeraSerif"/>
          <w:b w:val="0"/>
          <w:i w:val="0"/>
          <w:color w:val="000000"/>
          <w:sz w:val="14"/>
        </w:rPr>
        <w:t xml:space="preserve"> Quantum</w:t>
      </w:r>
      <w:r>
        <w:rPr>
          <w:w w:val="102.62645312717981"/>
          <w:rFonts w:ascii="BeraSerif" w:hAnsi="BeraSerif" w:eastAsia="BeraSerif"/>
          <w:b w:val="0"/>
          <w:i w:val="0"/>
          <w:color w:val="000000"/>
          <w:sz w:val="14"/>
        </w:rPr>
        <w:t xml:space="preserve"> 2 (Aug 2018), 79. </w:t>
      </w:r>
      <w:r>
        <w:tab/>
      </w:r>
      <w:r>
        <w:rPr>
          <w:w w:val="102.62645312717981"/>
          <w:rFonts w:ascii="BeraSerif" w:hAnsi="BeraSerif" w:eastAsia="BeraSerif"/>
          <w:b w:val="0"/>
          <w:i w:val="0"/>
          <w:color w:val="000000"/>
          <w:sz w:val="14"/>
        </w:rPr>
        <w:hyperlink r:id="rId55" w:history="1">
          <w:r>
            <w:rPr>
              <w:rStyle w:val="Hyperlink"/>
            </w:rPr>
            <w:t>https://doi.org/10.</w:t>
          </w:r>
        </w:hyperlink>
      </w:r>
    </w:p>
    <w:p>
      <w:pPr>
        <w:autoSpaceDN w:val="0"/>
        <w:tabs>
          <w:tab w:pos="548" w:val="left"/>
        </w:tabs>
        <w:autoSpaceDE w:val="0"/>
        <w:widowControl/>
        <w:spacing w:line="208" w:lineRule="exact" w:before="2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5" w:history="1">
          <w:r>
            <w:rPr>
              <w:rStyle w:val="Hyperlink"/>
            </w:rPr>
            <w:t xml:space="preserve">22331/q-2018-08-06-79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[34]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Justin Reyes and Miles Stoudenmire. 2020. A Multi-Scale Tensor Network Architecture for Classification and Regression.</w:t>
      </w:r>
    </w:p>
    <w:p>
      <w:pPr>
        <w:autoSpaceDN w:val="0"/>
        <w:tabs>
          <w:tab w:pos="548" w:val="left"/>
        </w:tabs>
        <w:autoSpaceDE w:val="0"/>
        <w:widowControl/>
        <w:spacing w:line="210" w:lineRule="exact" w:before="0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arXiv: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6" w:history="1">
          <w:r>
            <w:rPr>
              <w:rStyle w:val="Hyperlink"/>
            </w:rPr>
            <w:t>2001.08286</w:t>
          </w:r>
        </w:hyperlink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[stat.ML]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[35]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Chase Roberts, Ashley Milsted, Martin Ganahl, Adam Zalcman, Bruce Fontaine, Yijian Zou, Jack Hidary, Guifre Vidal, and </w:t>
      </w:r>
      <w:r>
        <w:tab/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Stefan Leichenauer. 2019. TensorNetwork: A Library for Physics and Machine Learning. arXiv: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hyperlink r:id="rId57" w:history="1">
          <w:r>
            <w:rPr>
              <w:rStyle w:val="Hyperlink"/>
            </w:rPr>
            <w:t xml:space="preserve">1905.01330 </w:t>
          </w:r>
        </w:hyperlink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>[physics.comp-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ph]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[36]</w:t>
      </w:r>
      <w:r>
        <w:rPr>
          <w:w w:val="101.44295692443848"/>
          <w:rFonts w:ascii="BeraSerif" w:hAnsi="BeraSerif" w:eastAsia="BeraSerif"/>
          <w:b w:val="0"/>
          <w:i w:val="0"/>
          <w:color w:val="000000"/>
          <w:sz w:val="14"/>
        </w:rPr>
        <w:t xml:space="preserve"> Y.-Y. Shi, L.-M. Duan, and G. Vidal. 2006. Classical simulation of quantum many-body systems with a tree tensor network.</w:t>
      </w:r>
    </w:p>
    <w:p>
      <w:pPr>
        <w:autoSpaceDN w:val="0"/>
        <w:tabs>
          <w:tab w:pos="542" w:val="left"/>
          <w:tab w:pos="548" w:val="left"/>
        </w:tabs>
        <w:autoSpaceDE w:val="0"/>
        <w:widowControl/>
        <w:spacing w:line="210" w:lineRule="exact" w:before="0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Phys. Rev. A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74 (Aug 2006), 022320. Issue 2.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8" w:history="1">
          <w:r>
            <w:rPr>
              <w:rStyle w:val="Hyperlink"/>
            </w:rPr>
            <w:t xml:space="preserve">https://doi.org/10.1103/PhysRevA.74.022320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[37]</w:t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 xml:space="preserve"> Benjamin Villalonga, Sergio Boixo, Bron Nelson, Christopher Henze, Eleanor Rieffel, Rupak Biswas, and Salvatore </w:t>
      </w:r>
      <w:r>
        <w:tab/>
      </w:r>
      <w:r>
        <w:rPr>
          <w:w w:val="101.70140947614397"/>
          <w:rFonts w:ascii="BeraSerif" w:hAnsi="BeraSerif" w:eastAsia="BeraSerif"/>
          <w:b w:val="0"/>
          <w:i w:val="0"/>
          <w:color w:val="000000"/>
          <w:sz w:val="14"/>
        </w:rPr>
        <w:t xml:space="preserve">Mandrà. 2019. A flexible high-performance simulator for verifying and benchmarking quantum circuits implemented on 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real hardware.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npj Quantum Information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5, 1 (2019).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59" w:history="1">
          <w:r>
            <w:rPr>
              <w:rStyle w:val="Hyperlink"/>
            </w:rPr>
            <w:t xml:space="preserve">https://doi.org/10.1038/s41534-019-0196-1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[38]</w:t>
      </w:r>
      <w:r>
        <w:rPr>
          <w:w w:val="102.932950428554"/>
          <w:rFonts w:ascii="BeraSerif" w:hAnsi="BeraSerif" w:eastAsia="BeraSerif"/>
          <w:b w:val="0"/>
          <w:i w:val="0"/>
          <w:color w:val="000000"/>
          <w:sz w:val="14"/>
        </w:rPr>
        <w:t xml:space="preserve"> Benjamin Villalonga, Dmitry Lyakh, Sergio Boixo, Hartmut Neven, Travis S Humble, Rupak Biswas, Eleanor G Rieffel, </w:t>
      </w:r>
      <w:r>
        <w:tab/>
      </w:r>
      <w:r>
        <w:rPr>
          <w:w w:val="103.49251202174597"/>
          <w:rFonts w:ascii="BeraSerif" w:hAnsi="BeraSerif" w:eastAsia="BeraSerif"/>
          <w:b w:val="0"/>
          <w:i w:val="0"/>
          <w:color w:val="000000"/>
          <w:sz w:val="14"/>
        </w:rPr>
        <w:t>Alan Ho, and Salvatore Mandrà. 2020. Establishing the quantum supremacy frontier with a 281 Pflop/s simulation.</w:t>
      </w:r>
    </w:p>
    <w:p>
      <w:pPr>
        <w:autoSpaceDN w:val="0"/>
        <w:tabs>
          <w:tab w:pos="548" w:val="left"/>
        </w:tabs>
        <w:autoSpaceDE w:val="0"/>
        <w:widowControl/>
        <w:spacing w:line="208" w:lineRule="exact" w:before="2" w:after="0"/>
        <w:ind w:left="174" w:right="0" w:firstLine="0"/>
        <w:jc w:val="left"/>
      </w:pP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Quantum Science and Technology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 5, 3 (apr 2020), 034003. </w:t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hyperlink r:id="rId60" w:history="1">
          <w:r>
            <w:rPr>
              <w:rStyle w:val="Hyperlink"/>
            </w:rPr>
            <w:t xml:space="preserve">https://doi.org/10.1088/2058-9565/ab7eeb </w:t>
          </w:r>
        </w:hyperlink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[39]</w:t>
      </w:r>
      <w:r>
        <w:rPr>
          <w:w w:val="102.01068605695451"/>
          <w:rFonts w:ascii="BeraSerif" w:hAnsi="BeraSerif" w:eastAsia="BeraSerif"/>
          <w:b w:val="0"/>
          <w:i w:val="0"/>
          <w:color w:val="000000"/>
          <w:sz w:val="14"/>
        </w:rPr>
        <w:t xml:space="preserve"> Trevor Vincent, Lee J. O’Riordan, Mikhail Andrenkov, Jack Brown, Nathan Killoran, Haoyu Qi, and Ish Dhand. 2021. Jet: </w:t>
      </w:r>
      <w:r>
        <w:tab/>
      </w:r>
      <w:r>
        <w:rPr>
          <w:w w:val="101.75301688058036"/>
          <w:rFonts w:ascii="BeraSerif" w:hAnsi="BeraSerif" w:eastAsia="BeraSerif"/>
          <w:b w:val="0"/>
          <w:i w:val="0"/>
          <w:color w:val="000000"/>
          <w:sz w:val="14"/>
        </w:rPr>
        <w:t>Fast quantum circuit simulations with parallel task-based tensor-network contraction. (2021). arXiv:</w:t>
      </w:r>
      <w:r>
        <w:rPr>
          <w:w w:val="101.75301688058036"/>
          <w:rFonts w:ascii="BeraSerif" w:hAnsi="BeraSerif" w:eastAsia="BeraSerif"/>
          <w:b w:val="0"/>
          <w:i w:val="0"/>
          <w:color w:val="000000"/>
          <w:sz w:val="14"/>
        </w:rPr>
        <w:hyperlink r:id="rId61" w:history="1">
          <w:r>
            <w:rPr>
              <w:rStyle w:val="Hyperlink"/>
            </w:rPr>
            <w:t>2107.09793</w:t>
          </w:r>
        </w:hyperlink>
      </w:r>
      <w:r>
        <w:rPr>
          <w:w w:val="101.75301688058036"/>
          <w:rFonts w:ascii="BeraSerif" w:hAnsi="BeraSerif" w:eastAsia="BeraSerif"/>
          <w:b w:val="0"/>
          <w:i w:val="0"/>
          <w:color w:val="000000"/>
          <w:sz w:val="14"/>
        </w:rPr>
        <w:t xml:space="preserve"> [quant-</w:t>
      </w:r>
      <w:r>
        <w:tab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 xml:space="preserve">ph] </w:t>
      </w:r>
      <w:r>
        <w:br/>
      </w: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[40]</w:t>
      </w:r>
      <w:r>
        <w:rPr>
          <w:w w:val="102.83088002886092"/>
          <w:rFonts w:ascii="BeraSerif" w:hAnsi="BeraSerif" w:eastAsia="BeraSerif"/>
          <w:b w:val="0"/>
          <w:i w:val="0"/>
          <w:color w:val="000000"/>
          <w:sz w:val="14"/>
        </w:rPr>
        <w:t xml:space="preserve"> Albert H Werner, Daniel Jaschke, Pietro Silvi, Martin Kliesch, Tommaso Calarco, Jens Eisert, and Simone Montangero.</w:t>
      </w:r>
    </w:p>
    <w:p>
      <w:pPr>
        <w:autoSpaceDN w:val="0"/>
        <w:autoSpaceDE w:val="0"/>
        <w:widowControl/>
        <w:spacing w:line="150" w:lineRule="exact" w:before="60" w:after="0"/>
        <w:ind w:left="548" w:right="0" w:firstLine="0"/>
        <w:jc w:val="left"/>
      </w:pPr>
      <w:r>
        <w:rPr>
          <w:w w:val="102.31902939932687"/>
          <w:rFonts w:ascii="BeraSerif" w:hAnsi="BeraSerif" w:eastAsia="BeraSerif"/>
          <w:b w:val="0"/>
          <w:i w:val="0"/>
          <w:color w:val="000000"/>
          <w:sz w:val="14"/>
        </w:rPr>
        <w:t>2016. Positive tensor network approach for simulating open quantum many-body systems.</w:t>
      </w:r>
      <w:r>
        <w:rPr>
          <w:w w:val="102.31902939932687"/>
          <w:rFonts w:ascii="BeraSerif" w:hAnsi="BeraSerif" w:eastAsia="BeraSerif"/>
          <w:b w:val="0"/>
          <w:i w:val="0"/>
          <w:color w:val="000000"/>
          <w:sz w:val="14"/>
        </w:rPr>
        <w:t xml:space="preserve"> Physical review letters</w:t>
      </w:r>
      <w:r>
        <w:rPr>
          <w:w w:val="102.31902939932687"/>
          <w:rFonts w:ascii="BeraSerif" w:hAnsi="BeraSerif" w:eastAsia="BeraSerif"/>
          <w:b w:val="0"/>
          <w:i w:val="0"/>
          <w:color w:val="000000"/>
          <w:sz w:val="14"/>
        </w:rPr>
        <w:t xml:space="preserve"> 116,</w:t>
      </w:r>
    </w:p>
    <w:p>
      <w:pPr>
        <w:autoSpaceDN w:val="0"/>
        <w:autoSpaceDE w:val="0"/>
        <w:widowControl/>
        <w:spacing w:line="150" w:lineRule="exact" w:before="418" w:after="0"/>
        <w:ind w:left="0" w:right="174" w:firstLine="0"/>
        <w:jc w:val="righ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p>
      <w:pPr>
        <w:sectPr>
          <w:pgSz w:w="12240" w:h="15840"/>
          <w:pgMar w:top="814" w:right="1440" w:bottom="1138" w:left="1440" w:header="720" w:footer="720" w:gutter="0"/>
          <w:cols w:space="720" w:num="1" w:equalWidth="0">
            <w:col w:w="9360" w:space="0"/>
            <w:col w:w="9360" w:space="0"/>
            <w:col w:w="9360" w:space="0"/>
            <w:col w:w="9522" w:space="0"/>
            <w:col w:w="4108" w:space="0"/>
            <w:col w:w="5414" w:space="0"/>
            <w:col w:w="9522" w:space="0"/>
            <w:col w:w="9360" w:space="0"/>
            <w:col w:w="9360" w:space="0"/>
            <w:col w:w="3694" w:space="0"/>
            <w:col w:w="5666" w:space="0"/>
            <w:col w:w="9360" w:space="0"/>
            <w:col w:w="3724" w:space="0"/>
            <w:col w:w="5636" w:space="0"/>
            <w:col w:w="9360" w:space="0"/>
            <w:col w:w="9360" w:space="0"/>
            <w:col w:w="5262" w:space="0"/>
            <w:col w:w="4098" w:space="0"/>
            <w:col w:w="9360" w:space="0"/>
            <w:col w:w="9360" w:space="0"/>
            <w:col w:w="9360" w:space="0"/>
            <w:col w:w="4744" w:space="0"/>
            <w:col w:w="4616" w:space="0"/>
            <w:col w:w="9360" w:space="0"/>
            <w:col w:w="9360" w:space="0"/>
            <w:col w:w="4694" w:space="0"/>
            <w:col w:w="4666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0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120"/>
        <w:gridCol w:w="3120"/>
        <w:gridCol w:w="3120"/>
      </w:tblGrid>
      <w:tr>
        <w:trPr>
          <w:trHeight w:hRule="exact" w:val="204"/>
        </w:trPr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22</w:t>
            </w:r>
          </w:p>
        </w:tc>
        <w:tc>
          <w:tcPr>
            <w:tcW w:type="dxa" w:w="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0" w:right="0" w:firstLine="0"/>
              <w:jc w:val="center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•</w:t>
            </w:r>
          </w:p>
        </w:tc>
        <w:tc>
          <w:tcPr>
            <w:tcW w:type="dxa" w:w="7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44" w:lineRule="exact" w:before="0" w:after="0"/>
              <w:ind w:left="88" w:right="0" w:firstLine="0"/>
              <w:jc w:val="left"/>
            </w:pPr>
            <w:r>
              <w:rPr>
                <w:w w:val="102.4728570665632"/>
                <w:rFonts w:ascii="BeraSans" w:hAnsi="BeraSans" w:eastAsia="BeraSans"/>
                <w:b w:val="0"/>
                <w:i w:val="0"/>
                <w:color w:val="000000"/>
                <w:sz w:val="14"/>
              </w:rPr>
              <w:t>Thien Nguyen, Dmitry Lyakh, Eugene Dumitrescu, David Clark, Jeff Larkin, and Alexander McCaskey</w:t>
            </w:r>
          </w:p>
        </w:tc>
      </w:tr>
    </w:tbl>
    <w:p>
      <w:pPr>
        <w:autoSpaceDN w:val="0"/>
        <w:autoSpaceDE w:val="0"/>
        <w:widowControl/>
        <w:spacing w:line="150" w:lineRule="exact" w:before="332" w:after="0"/>
        <w:ind w:left="54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23 (2016), 237201.</w:t>
      </w:r>
    </w:p>
    <w:p>
      <w:pPr>
        <w:autoSpaceDN w:val="0"/>
        <w:autoSpaceDE w:val="0"/>
        <w:widowControl/>
        <w:spacing w:line="240" w:lineRule="auto" w:before="185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935220" cy="475234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4752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50" w:lineRule="exact" w:before="1752" w:after="0"/>
        <w:ind w:left="168" w:right="0" w:firstLine="0"/>
        <w:jc w:val="left"/>
      </w:pPr>
      <w:r>
        <w:rPr>
          <w:w w:val="102.4728570665632"/>
          <w:rFonts w:ascii="BeraSerif" w:hAnsi="BeraSerif" w:eastAsia="BeraSerif"/>
          <w:b w:val="0"/>
          <w:i w:val="0"/>
          <w:color w:val="000000"/>
          <w:sz w:val="14"/>
        </w:rPr>
        <w:t>ACM Trans. Quantum Comput.</w:t>
      </w:r>
    </w:p>
    <w:sectPr w:rsidR="00FC693F" w:rsidRPr="0006063C" w:rsidSect="00034616">
      <w:pgSz w:w="12240" w:h="15840"/>
      <w:pgMar w:top="820" w:right="1440" w:bottom="1138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522" w:space="0"/>
        <w:col w:w="4108" w:space="0"/>
        <w:col w:w="5414" w:space="0"/>
        <w:col w:w="9522" w:space="0"/>
        <w:col w:w="9360" w:space="0"/>
        <w:col w:w="9360" w:space="0"/>
        <w:col w:w="3694" w:space="0"/>
        <w:col w:w="5666" w:space="0"/>
        <w:col w:w="9360" w:space="0"/>
        <w:col w:w="3724" w:space="0"/>
        <w:col w:w="5636" w:space="0"/>
        <w:col w:w="9360" w:space="0"/>
        <w:col w:w="9360" w:space="0"/>
        <w:col w:w="5262" w:space="0"/>
        <w:col w:w="4098" w:space="0"/>
        <w:col w:w="9360" w:space="0"/>
        <w:col w:w="9360" w:space="0"/>
        <w:col w:w="9360" w:space="0"/>
        <w:col w:w="4744" w:space="0"/>
        <w:col w:w="4616" w:space="0"/>
        <w:col w:w="9360" w:space="0"/>
        <w:col w:w="9360" w:space="0"/>
        <w:col w:w="4694" w:space="0"/>
        <w:col w:w="4666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145/3547334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s://github.com/ORNL-QCI/tnqvm/tree/master/examples/sycamore" TargetMode="External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hyperlink" Target="https://github.com/ORNL-QCI/exatn" TargetMode="External"/><Relationship Id="rId32" Type="http://schemas.openxmlformats.org/officeDocument/2006/relationships/hyperlink" Target="https://doi.org/10.1103/PhysRevA.70.052328" TargetMode="External"/><Relationship Id="rId33" Type="http://schemas.openxmlformats.org/officeDocument/2006/relationships/hyperlink" Target="https://doi.org/10.1038/s41586-019-1666-5" TargetMode="External"/><Relationship Id="rId34" Type="http://schemas.openxmlformats.org/officeDocument/2006/relationships/hyperlink" Target="https://doi.org/10.1103/PhysRevA.95.062337" TargetMode="External"/><Relationship Id="rId35" Type="http://schemas.openxmlformats.org/officeDocument/2006/relationships/hyperlink" Target="https://doi.org/10.22331/q-2019-09-02-181" TargetMode="External"/><Relationship Id="rId36" Type="http://schemas.openxmlformats.org/officeDocument/2006/relationships/hyperlink" Target="https://doi.org/10.1103/PhysRevLett.116.250501" TargetMode="External"/><Relationship Id="rId37" Type="http://schemas.openxmlformats.org/officeDocument/2006/relationships/hyperlink" Target="https://doi.org/10.22331/q-2019-01-25-116" TargetMode="External"/><Relationship Id="rId38" Type="http://schemas.openxmlformats.org/officeDocument/2006/relationships/hyperlink" Target="https://doi.org/10.1016/j.cpc.2018.11.005" TargetMode="External"/><Relationship Id="rId39" Type="http://schemas.openxmlformats.org/officeDocument/2006/relationships/hyperlink" Target="https://arxiv.org/abs/2007.14822" TargetMode="External"/><Relationship Id="rId40" Type="http://schemas.openxmlformats.org/officeDocument/2006/relationships/hyperlink" Target="http://www.amazon.com/Design-Patterns-Elements-Reusable-Object-Oriented/dp/0201633612/ref=ntt_at_ep_dpi_1" TargetMode="External"/><Relationship Id="rId41" Type="http://schemas.openxmlformats.org/officeDocument/2006/relationships/hyperlink" Target="https://arxiv.org/abs/2103.02202" TargetMode="External"/><Relationship Id="rId42" Type="http://schemas.openxmlformats.org/officeDocument/2006/relationships/hyperlink" Target="https://arxiv.org/abs/1806.05964" TargetMode="External"/><Relationship Id="rId43" Type="http://schemas.openxmlformats.org/officeDocument/2006/relationships/hyperlink" Target="https://doi.org/10.21105/joss.00819" TargetMode="External"/><Relationship Id="rId44" Type="http://schemas.openxmlformats.org/officeDocument/2006/relationships/hyperlink" Target="https://doi.org/10.22331/q-2021-03-15-410" TargetMode="External"/><Relationship Id="rId45" Type="http://schemas.openxmlformats.org/officeDocument/2006/relationships/hyperlink" Target="https://doi.org/10.1088/2058-9565/ab8505" TargetMode="External"/><Relationship Id="rId46" Type="http://schemas.openxmlformats.org/officeDocument/2006/relationships/hyperlink" Target="https://doi.org/10.1103/PhysRevX.8.031012" TargetMode="External"/><Relationship Id="rId47" Type="http://schemas.openxmlformats.org/officeDocument/2006/relationships/hyperlink" Target="https://doi.org/10.1145/3126908.3126947" TargetMode="External"/><Relationship Id="rId48" Type="http://schemas.openxmlformats.org/officeDocument/2006/relationships/hyperlink" Target="https://arxiv.org/abs/2005.06787" TargetMode="External"/><Relationship Id="rId49" Type="http://schemas.openxmlformats.org/officeDocument/2006/relationships/hyperlink" Target="http://glaros.dtc.umn.edu/gkhome/views/metis" TargetMode="External"/><Relationship Id="rId50" Type="http://schemas.openxmlformats.org/officeDocument/2006/relationships/hyperlink" Target="https://doi.org/10.1109/QCS54837.2021.00007" TargetMode="External"/><Relationship Id="rId51" Type="http://schemas.openxmlformats.org/officeDocument/2006/relationships/hyperlink" Target="https://doi.org/10.1137/050644756" TargetMode="External"/><Relationship Id="rId52" Type="http://schemas.openxmlformats.org/officeDocument/2006/relationships/hyperlink" Target="https://doi.org/10.1016/j.aop.2014.06.013" TargetMode="External"/><Relationship Id="rId53" Type="http://schemas.openxmlformats.org/officeDocument/2006/relationships/hyperlink" Target="https://arxiv.org/abs/2103.03074" TargetMode="External"/><Relationship Id="rId54" Type="http://schemas.openxmlformats.org/officeDocument/2006/relationships/hyperlink" Target="https://doi.org/10.1038/s41534-020-00352-4" TargetMode="External"/><Relationship Id="rId55" Type="http://schemas.openxmlformats.org/officeDocument/2006/relationships/hyperlink" Target="https://doi.org/10.22331/q-2018-08-06-79" TargetMode="External"/><Relationship Id="rId56" Type="http://schemas.openxmlformats.org/officeDocument/2006/relationships/hyperlink" Target="https://arxiv.org/abs/2001.08286" TargetMode="External"/><Relationship Id="rId57" Type="http://schemas.openxmlformats.org/officeDocument/2006/relationships/hyperlink" Target="https://arxiv.org/abs/1905.01330" TargetMode="External"/><Relationship Id="rId58" Type="http://schemas.openxmlformats.org/officeDocument/2006/relationships/hyperlink" Target="https://doi.org/10.1103/PhysRevA.74.022320" TargetMode="External"/><Relationship Id="rId59" Type="http://schemas.openxmlformats.org/officeDocument/2006/relationships/hyperlink" Target="https://doi.org/10.1038/s41534-019-0196-1" TargetMode="External"/><Relationship Id="rId60" Type="http://schemas.openxmlformats.org/officeDocument/2006/relationships/hyperlink" Target="https://doi.org/10.1088/2058-9565/ab7eeb" TargetMode="External"/><Relationship Id="rId61" Type="http://schemas.openxmlformats.org/officeDocument/2006/relationships/hyperlink" Target="https://arxiv.org/abs/2107.097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